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61F18" w14:textId="3944208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63A58">
        <w:t>93</w:t>
      </w:r>
      <w:r w:rsidRPr="00CE0424">
        <w:tab/>
      </w:r>
      <w:r w:rsidRPr="00CE0424">
        <w:rPr>
          <w:sz w:val="32"/>
          <w:szCs w:val="32"/>
        </w:rPr>
        <w:t xml:space="preserve">Tdoc </w:t>
      </w:r>
      <w:r w:rsidR="00421245" w:rsidRPr="00421245">
        <w:rPr>
          <w:sz w:val="32"/>
          <w:szCs w:val="32"/>
        </w:rPr>
        <w:t>R1-1806250</w:t>
      </w:r>
    </w:p>
    <w:p w14:paraId="2077E822" w14:textId="77777777" w:rsidR="006B5002" w:rsidRPr="00CE0424" w:rsidRDefault="006B5002" w:rsidP="006B5002">
      <w:pPr>
        <w:pStyle w:val="3GPPHeader"/>
      </w:pPr>
      <w:r w:rsidRPr="00CE0BF7">
        <w:t>Busan, Korea, May 21</w:t>
      </w:r>
      <w:r w:rsidRPr="00CE0BF7">
        <w:rPr>
          <w:vertAlign w:val="superscript"/>
        </w:rPr>
        <w:t>st</w:t>
      </w:r>
      <w:r w:rsidRPr="00CE0BF7">
        <w:t xml:space="preserve"> – 25</w:t>
      </w:r>
      <w:r w:rsidRPr="00CE0BF7">
        <w:rPr>
          <w:vertAlign w:val="superscript"/>
        </w:rPr>
        <w:t>th</w:t>
      </w:r>
      <w:r w:rsidRPr="00CE0BF7">
        <w:t xml:space="preserve"> 2018</w:t>
      </w:r>
    </w:p>
    <w:p w14:paraId="0B43DF16" w14:textId="05A062D7" w:rsidR="00E90E49" w:rsidRPr="008F1C4E" w:rsidRDefault="00E90E49" w:rsidP="00311702">
      <w:pPr>
        <w:pStyle w:val="3GPPHeader"/>
        <w:rPr>
          <w:sz w:val="22"/>
          <w:szCs w:val="22"/>
          <w:lang w:val="sv-FI"/>
        </w:rPr>
      </w:pPr>
      <w:bookmarkStart w:id="0" w:name="_GoBack"/>
      <w:bookmarkEnd w:id="0"/>
      <w:r w:rsidRPr="008F1C4E">
        <w:rPr>
          <w:sz w:val="22"/>
          <w:szCs w:val="22"/>
          <w:lang w:val="sv-FI"/>
        </w:rPr>
        <w:t>Agenda Item:</w:t>
      </w:r>
      <w:r w:rsidRPr="008F1C4E">
        <w:rPr>
          <w:sz w:val="22"/>
          <w:szCs w:val="22"/>
          <w:lang w:val="sv-FI"/>
        </w:rPr>
        <w:tab/>
      </w:r>
      <w:r w:rsidR="00421245" w:rsidRPr="00421245">
        <w:rPr>
          <w:sz w:val="22"/>
          <w:szCs w:val="22"/>
          <w:lang w:val="sv-FI"/>
        </w:rPr>
        <w:t>7.6.2</w:t>
      </w:r>
    </w:p>
    <w:p w14:paraId="45D2007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467EAC2" w14:textId="74FC8162" w:rsidR="00E90E49" w:rsidRPr="00CE0424" w:rsidRDefault="003D3C45" w:rsidP="00311702">
      <w:pPr>
        <w:pStyle w:val="3GPPHeader"/>
        <w:rPr>
          <w:sz w:val="22"/>
          <w:szCs w:val="22"/>
        </w:rPr>
      </w:pPr>
      <w:r>
        <w:rPr>
          <w:sz w:val="22"/>
          <w:szCs w:val="22"/>
        </w:rPr>
        <w:t>Title:</w:t>
      </w:r>
      <w:r w:rsidR="00E90E49" w:rsidRPr="00CE0424">
        <w:rPr>
          <w:sz w:val="22"/>
          <w:szCs w:val="22"/>
        </w:rPr>
        <w:tab/>
      </w:r>
      <w:r w:rsidR="00421245" w:rsidRPr="00421245">
        <w:rPr>
          <w:sz w:val="22"/>
          <w:szCs w:val="22"/>
        </w:rPr>
        <w:t>Frame structure for NR-U</w:t>
      </w:r>
    </w:p>
    <w:p w14:paraId="41A5EA0B" w14:textId="77777777" w:rsidR="00E90E49" w:rsidRPr="00CE0424" w:rsidRDefault="00E90E49" w:rsidP="00D546FF">
      <w:pPr>
        <w:pStyle w:val="3GPPHeader"/>
        <w:rPr>
          <w:sz w:val="22"/>
          <w:szCs w:val="22"/>
        </w:rPr>
      </w:pPr>
      <w:r w:rsidRPr="00421245">
        <w:rPr>
          <w:sz w:val="22"/>
          <w:szCs w:val="22"/>
        </w:rPr>
        <w:t>Document for:</w:t>
      </w:r>
      <w:r w:rsidRPr="00421245">
        <w:rPr>
          <w:sz w:val="22"/>
          <w:szCs w:val="22"/>
        </w:rPr>
        <w:tab/>
      </w:r>
      <w:r w:rsidRPr="004E3838">
        <w:rPr>
          <w:sz w:val="22"/>
          <w:szCs w:val="22"/>
        </w:rPr>
        <w:t>Discussion, Decision</w:t>
      </w:r>
    </w:p>
    <w:p w14:paraId="37CFE3B4" w14:textId="0C85DD0A" w:rsidR="00E90E49" w:rsidRDefault="00230D18" w:rsidP="00CE0424">
      <w:pPr>
        <w:pStyle w:val="Heading1"/>
      </w:pPr>
      <w:r>
        <w:t>1</w:t>
      </w:r>
      <w:r>
        <w:tab/>
      </w:r>
      <w:r w:rsidR="00E90E49" w:rsidRPr="00CE0424">
        <w:t>Introduction</w:t>
      </w:r>
    </w:p>
    <w:p w14:paraId="067D936A" w14:textId="17C656F1" w:rsidR="00E745CA" w:rsidRPr="00104DC8" w:rsidRDefault="00272093" w:rsidP="00104DC8">
      <w:pPr>
        <w:rPr>
          <w:rFonts w:cs="Arial"/>
        </w:rPr>
      </w:pPr>
      <w:r w:rsidRPr="00104DC8">
        <w:rPr>
          <w:rFonts w:ascii="Arial" w:hAnsi="Arial" w:cs="Arial"/>
        </w:rPr>
        <w:t>D</w:t>
      </w:r>
      <w:r w:rsidR="00E745CA" w:rsidRPr="00104DC8">
        <w:rPr>
          <w:rFonts w:ascii="Arial" w:hAnsi="Arial" w:cs="Arial"/>
        </w:rPr>
        <w:t xml:space="preserve">uring RAN1#92bis, the following agreements were made: </w:t>
      </w:r>
    </w:p>
    <w:p w14:paraId="507712C2" w14:textId="77777777" w:rsidR="008E28FA" w:rsidRPr="00104DC8" w:rsidRDefault="008E28FA" w:rsidP="008E28FA">
      <w:pPr>
        <w:rPr>
          <w:rFonts w:ascii="Arial" w:hAnsi="Arial" w:cs="Arial"/>
          <w:lang w:eastAsia="en-US"/>
        </w:rPr>
      </w:pPr>
      <w:r w:rsidRPr="00104DC8">
        <w:rPr>
          <w:rFonts w:ascii="Arial" w:hAnsi="Arial" w:cs="Arial"/>
          <w:highlight w:val="green"/>
        </w:rPr>
        <w:t>Agreement:</w:t>
      </w:r>
    </w:p>
    <w:p w14:paraId="031786BB" w14:textId="77777777" w:rsidR="008E28FA" w:rsidRPr="00104DC8" w:rsidRDefault="008E28FA" w:rsidP="005F2550">
      <w:pPr>
        <w:widowControl w:val="0"/>
        <w:numPr>
          <w:ilvl w:val="0"/>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 xml:space="preserve">NR-U supports both Type-A and Type-B mapping already supported in NR </w:t>
      </w:r>
    </w:p>
    <w:p w14:paraId="389856C7" w14:textId="0312C8F9" w:rsidR="008E28FA" w:rsidRPr="00104DC8" w:rsidRDefault="005F2550" w:rsidP="005F2550">
      <w:pPr>
        <w:widowControl w:val="0"/>
        <w:numPr>
          <w:ilvl w:val="2"/>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 xml:space="preserve">FFS: </w:t>
      </w:r>
      <w:r w:rsidR="008E28FA" w:rsidRPr="00104DC8">
        <w:rPr>
          <w:rFonts w:ascii="Arial" w:hAnsi="Arial" w:cs="Arial"/>
          <w:lang w:val="en-US"/>
        </w:rPr>
        <w:t>Additional starting positions and durations are not precluded</w:t>
      </w:r>
    </w:p>
    <w:p w14:paraId="4745D587" w14:textId="77777777" w:rsidR="008E28FA" w:rsidRPr="00104DC8" w:rsidRDefault="008E28FA" w:rsidP="008E28FA">
      <w:pPr>
        <w:widowControl w:val="0"/>
        <w:numPr>
          <w:ilvl w:val="0"/>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For sub-7 GHz, NR-U study the SCSs, 15/30/60KHz</w:t>
      </w:r>
    </w:p>
    <w:p w14:paraId="5D1D8697" w14:textId="77777777" w:rsidR="008E28FA" w:rsidRPr="00104DC8" w:rsidRDefault="008E28FA" w:rsidP="008E28FA">
      <w:pPr>
        <w:widowControl w:val="0"/>
        <w:numPr>
          <w:ilvl w:val="1"/>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Study performance difference between different SCS</w:t>
      </w:r>
    </w:p>
    <w:p w14:paraId="50C133EF" w14:textId="77777777" w:rsidR="008E28FA" w:rsidRPr="00104DC8" w:rsidRDefault="008E28FA" w:rsidP="008E28FA">
      <w:pPr>
        <w:widowControl w:val="0"/>
        <w:numPr>
          <w:ilvl w:val="1"/>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Study if changes to UL design are needed to meet the PSD and OCB requirements</w:t>
      </w:r>
    </w:p>
    <w:p w14:paraId="1EF232F0" w14:textId="77777777" w:rsidR="008E28FA" w:rsidRPr="00104DC8" w:rsidRDefault="008E28FA" w:rsidP="008E28FA">
      <w:pPr>
        <w:widowControl w:val="0"/>
        <w:numPr>
          <w:ilvl w:val="1"/>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 xml:space="preserve">Study if an SS block design/RMSI/OSI with 60KHz SCS is needed </w:t>
      </w:r>
    </w:p>
    <w:p w14:paraId="4C98F63B" w14:textId="77777777" w:rsidR="008E28FA" w:rsidRPr="00104DC8" w:rsidRDefault="008E28FA" w:rsidP="008E28FA">
      <w:pPr>
        <w:widowControl w:val="0"/>
        <w:numPr>
          <w:ilvl w:val="1"/>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 xml:space="preserve">Impact on MIB and SIB1 content </w:t>
      </w:r>
    </w:p>
    <w:p w14:paraId="232B157E" w14:textId="77777777" w:rsidR="008E28FA" w:rsidRPr="00104DC8" w:rsidRDefault="008E28FA" w:rsidP="008E28FA">
      <w:pPr>
        <w:widowControl w:val="0"/>
        <w:numPr>
          <w:ilvl w:val="1"/>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Need for use of ECP for 60KHz</w:t>
      </w:r>
    </w:p>
    <w:p w14:paraId="46E4575E" w14:textId="77777777" w:rsidR="008E28FA" w:rsidRPr="00104DC8" w:rsidRDefault="008E28FA" w:rsidP="008E28FA">
      <w:pPr>
        <w:widowControl w:val="0"/>
        <w:numPr>
          <w:ilvl w:val="1"/>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RACH design with 60KHz SCS in addition to options currently part of NR</w:t>
      </w:r>
    </w:p>
    <w:p w14:paraId="40F88DC3" w14:textId="77777777" w:rsidR="008E28FA" w:rsidRPr="00104DC8" w:rsidRDefault="008E28FA" w:rsidP="008E28FA">
      <w:pPr>
        <w:widowControl w:val="0"/>
        <w:numPr>
          <w:ilvl w:val="1"/>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 xml:space="preserve">Other considerations are not precluded. </w:t>
      </w:r>
    </w:p>
    <w:p w14:paraId="1A6338CD" w14:textId="77777777" w:rsidR="008E28FA" w:rsidRPr="00104DC8" w:rsidRDefault="008E28FA" w:rsidP="008E28FA">
      <w:pPr>
        <w:widowControl w:val="0"/>
        <w:numPr>
          <w:ilvl w:val="1"/>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Impact on support of different BWs with different SCS</w:t>
      </w:r>
    </w:p>
    <w:p w14:paraId="6B86C478" w14:textId="77777777" w:rsidR="008E28FA" w:rsidRPr="00104DC8" w:rsidRDefault="008E28FA" w:rsidP="008E28FA">
      <w:pPr>
        <w:widowControl w:val="0"/>
        <w:numPr>
          <w:ilvl w:val="0"/>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Study supporting more than one switching points within a TxOP</w:t>
      </w:r>
    </w:p>
    <w:p w14:paraId="2C2C320C" w14:textId="77777777" w:rsidR="008E28FA" w:rsidRPr="00104DC8" w:rsidRDefault="008E28FA" w:rsidP="008E28FA">
      <w:pPr>
        <w:widowControl w:val="0"/>
        <w:numPr>
          <w:ilvl w:val="1"/>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FFS the LBT requirement for each DL/UL data/control burst in the TxOP</w:t>
      </w:r>
    </w:p>
    <w:p w14:paraId="7361C651" w14:textId="27DB3520" w:rsidR="008E28FA" w:rsidRPr="00104DC8" w:rsidRDefault="008E28FA" w:rsidP="008E28FA">
      <w:pPr>
        <w:rPr>
          <w:rFonts w:ascii="Arial" w:hAnsi="Arial" w:cs="Arial"/>
          <w:lang w:val="en-US"/>
        </w:rPr>
      </w:pPr>
    </w:p>
    <w:p w14:paraId="1F91DF93" w14:textId="07736619" w:rsidR="00E745CA" w:rsidRPr="00104DC8" w:rsidRDefault="00E745CA" w:rsidP="008E28FA">
      <w:pPr>
        <w:rPr>
          <w:rFonts w:ascii="Arial" w:hAnsi="Arial" w:cs="Arial"/>
          <w:lang w:val="en-US"/>
        </w:rPr>
      </w:pPr>
      <w:r w:rsidRPr="00104DC8">
        <w:rPr>
          <w:rFonts w:ascii="Arial" w:hAnsi="Arial" w:cs="Arial"/>
          <w:lang w:val="en-US"/>
        </w:rPr>
        <w:t xml:space="preserve">In this contribution we provide our view on frame structure for NR-U, more specifically, on issues related to NR-U transmission granularity, numerology and wideband operation. </w:t>
      </w:r>
    </w:p>
    <w:p w14:paraId="0C7E81CC" w14:textId="512C7F46" w:rsidR="004000E8" w:rsidRDefault="00230D18" w:rsidP="00CE0424">
      <w:pPr>
        <w:pStyle w:val="Heading1"/>
      </w:pPr>
      <w:bookmarkStart w:id="1" w:name="_Ref178064866"/>
      <w:bookmarkStart w:id="2" w:name="_Hlk513638201"/>
      <w:r>
        <w:t>2</w:t>
      </w:r>
      <w:r>
        <w:tab/>
      </w:r>
      <w:r w:rsidR="004000E8" w:rsidRPr="00CE0424">
        <w:t>Discussion</w:t>
      </w:r>
      <w:bookmarkEnd w:id="1"/>
    </w:p>
    <w:p w14:paraId="5889CAC7" w14:textId="3CB65EFE" w:rsidR="005F2550" w:rsidRDefault="00E745CA" w:rsidP="00104DC8">
      <w:pPr>
        <w:pStyle w:val="BodyText"/>
      </w:pPr>
      <w:bookmarkStart w:id="3" w:name="_Toc513130363"/>
      <w:bookmarkEnd w:id="2"/>
      <w:r>
        <w:rPr>
          <w:lang w:val="en-US"/>
        </w:rPr>
        <w:t>NR-U transmission granularity</w:t>
      </w:r>
      <w:r w:rsidDel="00E745CA">
        <w:t xml:space="preserve"> </w:t>
      </w:r>
      <w:bookmarkEnd w:id="3"/>
      <w:r w:rsidR="005F2550">
        <w:t>In 3GPP NR Rel15 for licensed operation, downlink control information (DCI) is received over the physical layer downlink control channel (PDCCH). A PDCCH candidate is searched within a common or UE-specific search space which is mapped to a set of time and frequency resources referred to as a control resource set (CORESET). The search spaces within which PDCCH candidates must be monitored are configured to the UE via radio resource control (RRC) signalling. A monitoring periodicity is also configured for different PDCCH candidates. In any particular slot the UE may be configured to monitor multiple PDCCH candidates in multiple search spaces which may be mapped to one or more CORESETs. PDCCH candidates may need to be monitored multiple times in a slot, once every slot or once in multiple of slots. There are two kinds of transmission, i.e.</w:t>
      </w:r>
      <w:r w:rsidR="00C45A96">
        <w:t xml:space="preserve"> Type1</w:t>
      </w:r>
      <w:r w:rsidR="005F2550">
        <w:t xml:space="preserve"> </w:t>
      </w:r>
      <w:r w:rsidR="00C45A96">
        <w:t>(</w:t>
      </w:r>
      <w:r w:rsidR="005F2550">
        <w:t>slot-based</w:t>
      </w:r>
      <w:r w:rsidR="00C45A96">
        <w:t>)</w:t>
      </w:r>
      <w:r w:rsidR="005F2550">
        <w:t xml:space="preserve"> transmission and </w:t>
      </w:r>
      <w:r w:rsidR="00C45A96">
        <w:t>Type 2 (</w:t>
      </w:r>
      <w:r w:rsidR="005F2550">
        <w:t>mini slot-based</w:t>
      </w:r>
      <w:r w:rsidR="00C45A96">
        <w:t>)</w:t>
      </w:r>
      <w:r w:rsidR="005F2550">
        <w:t xml:space="preserve"> transmission. </w:t>
      </w:r>
      <w:r w:rsidR="00C45A96">
        <w:t xml:space="preserve">Type 2 </w:t>
      </w:r>
      <w:r w:rsidR="005F2550">
        <w:t xml:space="preserve">transmission could be started in any symbol with length of 2, 4 and 7 symbols. </w:t>
      </w:r>
    </w:p>
    <w:p w14:paraId="56CE92FA" w14:textId="1BC355C7" w:rsidR="00C45A96" w:rsidRDefault="00C45A96" w:rsidP="00664E50">
      <w:pPr>
        <w:pStyle w:val="Observation"/>
      </w:pPr>
      <w:bookmarkStart w:id="4" w:name="_Toc513700212"/>
      <w:r>
        <w:t xml:space="preserve">NR Rel15 supports DL </w:t>
      </w:r>
      <w:r w:rsidR="00CE1325">
        <w:t xml:space="preserve">and UL </w:t>
      </w:r>
      <w:r>
        <w:t>transmission starting in any symbol.</w:t>
      </w:r>
      <w:bookmarkEnd w:id="4"/>
      <w:r>
        <w:t xml:space="preserve">  </w:t>
      </w:r>
    </w:p>
    <w:p w14:paraId="2781A8EF" w14:textId="77204C87" w:rsidR="00C45A96" w:rsidRDefault="00664E50" w:rsidP="00664E50">
      <w:pPr>
        <w:pStyle w:val="Observation"/>
      </w:pPr>
      <w:bookmarkStart w:id="5" w:name="_Toc513700213"/>
      <w:r>
        <w:t>T</w:t>
      </w:r>
      <w:r w:rsidR="00C45A96">
        <w:t>he periodicity of the starting point is controlled by the CORESET and search space RRC configuration. The monitoring periodicity is decoupled from the supported Type 2 transmission duration {2,4,7}</w:t>
      </w:r>
      <w:bookmarkEnd w:id="5"/>
      <w:r w:rsidR="00C45A96">
        <w:t xml:space="preserve">  </w:t>
      </w:r>
    </w:p>
    <w:p w14:paraId="577A13E9" w14:textId="5870CABB" w:rsidR="00C45A96" w:rsidRDefault="00C45A96" w:rsidP="00664E50">
      <w:pPr>
        <w:pStyle w:val="Proposal"/>
      </w:pPr>
      <w:bookmarkStart w:id="6" w:name="_Toc513700217"/>
      <w:r>
        <w:t>No additional DL or UL starting positions are needed for NR-U</w:t>
      </w:r>
      <w:bookmarkEnd w:id="6"/>
      <w:r>
        <w:t xml:space="preserve">  </w:t>
      </w:r>
    </w:p>
    <w:p w14:paraId="52B1139B" w14:textId="6CADA006" w:rsidR="00DB72AF" w:rsidRDefault="00446710" w:rsidP="00DB72AF">
      <w:pPr>
        <w:pStyle w:val="Heading1"/>
      </w:pPr>
      <w:r>
        <w:lastRenderedPageBreak/>
        <w:t>3</w:t>
      </w:r>
      <w:r>
        <w:tab/>
      </w:r>
      <w:r w:rsidR="00DB72AF">
        <w:t>Numerology for NR-U</w:t>
      </w:r>
    </w:p>
    <w:p w14:paraId="2B060682" w14:textId="1221FE69" w:rsidR="00DB72AF" w:rsidRDefault="005E076B" w:rsidP="00DB72AF">
      <w:pPr>
        <w:pStyle w:val="BodyText"/>
      </w:pPr>
      <w:r>
        <w:t>T</w:t>
      </w:r>
      <w:r w:rsidR="00DB72AF">
        <w:t xml:space="preserve">he transmission granularity and latency can be reduced if 30 kHz and 60 kHz subcarrier spacing are used as numerology candidates for NR in unlicensed spectrum for 5/6 GHz. 60KHz subcarrier spacing will enable 4 times higher channel access granularity as compared to LAA. However, it will require some changes to support 60KHz for all types of signals for below 6GHz spectrum. </w:t>
      </w:r>
    </w:p>
    <w:p w14:paraId="5486DBDB" w14:textId="7432986C" w:rsidR="00DB72AF" w:rsidRDefault="00DB72AF" w:rsidP="00DA087D">
      <w:pPr>
        <w:pStyle w:val="Proposal"/>
      </w:pPr>
      <w:bookmarkStart w:id="7" w:name="_Toc513700218"/>
      <w:r w:rsidRPr="00DB72AF">
        <w:t>30 kHz subcarrier spacing is supported for NR unlicensed @ 5 GHz and 6GHz.</w:t>
      </w:r>
      <w:bookmarkEnd w:id="7"/>
    </w:p>
    <w:p w14:paraId="52142F9A" w14:textId="04B1B369" w:rsidR="007576E0" w:rsidRDefault="007576E0" w:rsidP="007576E0">
      <w:pPr>
        <w:pStyle w:val="BodyText"/>
      </w:pPr>
      <w:r>
        <w:t xml:space="preserve">To support 60kHz SCS for all signaling for NR-U operation below 6GHz, changes will be required. For instance, Rel-15 NR does not support </w:t>
      </w:r>
      <w:r w:rsidR="00DE6CE8">
        <w:t xml:space="preserve">a </w:t>
      </w:r>
      <w:r>
        <w:t>SS</w:t>
      </w:r>
      <w:r w:rsidR="00DE6CE8">
        <w:t>/PBCH block</w:t>
      </w:r>
      <w:r>
        <w:t xml:space="preserve"> using 60kHz. To enable that, </w:t>
      </w:r>
      <w:r w:rsidR="00DE6CE8">
        <w:t xml:space="preserve">a </w:t>
      </w:r>
      <w:r>
        <w:t>new SS</w:t>
      </w:r>
      <w:r w:rsidR="001B0387">
        <w:t>/PBCH block</w:t>
      </w:r>
      <w:r>
        <w:t xml:space="preserve"> design is needed. </w:t>
      </w:r>
      <w:r w:rsidR="00DE6CE8">
        <w:t xml:space="preserve">In addition, the candidate SS/PBCH positions for a half frame are not defined for 60kHz SCS.  </w:t>
      </w:r>
      <w:r w:rsidR="008F2233">
        <w:t xml:space="preserve">For NSA </w:t>
      </w:r>
      <w:r w:rsidR="00DE6CE8">
        <w:t xml:space="preserve">operation, </w:t>
      </w:r>
      <w:r w:rsidR="008F2233">
        <w:t xml:space="preserve">the network can indicate the SCS of the SS/PBCH </w:t>
      </w:r>
      <w:r w:rsidR="001B0387">
        <w:t xml:space="preserve">to the UE. The current RRC signaling </w:t>
      </w:r>
      <w:r w:rsidR="00DE6CE8">
        <w:t xml:space="preserve">does not support </w:t>
      </w:r>
      <w:r w:rsidR="00925088">
        <w:t xml:space="preserve">an SS/PBCH block with </w:t>
      </w:r>
      <w:r w:rsidR="00DE6CE8">
        <w:t>60 kHz SCS</w:t>
      </w:r>
      <w:r w:rsidR="001B0387">
        <w:t>.</w:t>
      </w:r>
      <w:r w:rsidR="0080323E">
        <w:t xml:space="preserve"> In Rel-15 NR, the SCS of RMSI, Msg.2/4 for initial access and broadcast SI-messages are signalled in the MIB using a 1-bit value representing 15kHz or 30kKz SCS for frequencies below 6 GHz</w:t>
      </w:r>
      <w:r w:rsidR="007142F5">
        <w:t xml:space="preserve"> and 60kHz or 120kHz for frequencies above 6GHz.</w:t>
      </w:r>
      <w:r w:rsidR="000A1264">
        <w:t xml:space="preserve"> To support an SS/PBCH block with 60 kHz SCS, either an additional bit needs to be added </w:t>
      </w:r>
      <w:r w:rsidR="008C000F">
        <w:t xml:space="preserve">in the MIB </w:t>
      </w:r>
      <w:r w:rsidR="000A1264">
        <w:t>or the existing bits need to be reinterpreted.</w:t>
      </w:r>
      <w:r w:rsidR="008C000F">
        <w:t xml:space="preserve"> The RMSI CORESET configuration is signalled to the UE using an index </w:t>
      </w:r>
      <w:r w:rsidR="00CF1F77">
        <w:t xml:space="preserve">0-255 that points to different tables for different combinations of SCS for SS/PBCH block and RMSI. </w:t>
      </w:r>
      <w:r w:rsidR="00F61332">
        <w:t xml:space="preserve">If a 60 kHz SS/PBCH block </w:t>
      </w:r>
      <w:r w:rsidR="00CA0538">
        <w:t xml:space="preserve">is introduced </w:t>
      </w:r>
      <w:r w:rsidR="00263A7D">
        <w:t>new tables would need to be added</w:t>
      </w:r>
      <w:r w:rsidR="00F61332">
        <w:t>.</w:t>
      </w:r>
    </w:p>
    <w:p w14:paraId="6B72FA0A" w14:textId="6DADAF9B" w:rsidR="007576E0" w:rsidRDefault="006846A7" w:rsidP="007576E0">
      <w:pPr>
        <w:pStyle w:val="BodyText"/>
      </w:pPr>
      <w:r>
        <w:t>In addition</w:t>
      </w:r>
      <w:r w:rsidR="007576E0">
        <w:t>, the usage of 60kHz SCS for PRACH transmission is restricted to only frequencies above 6GHz. For below 6GHz operation, the supported PRACH SCS are limited to 15 and 30kHz which is indicated by 1-bit in RRC RACH configuration. This is especially problematic for UL transmission where interlacing data and control using different subcarrier spacing adds complexity. To include 60kHz for PRACH transmission in spectrum below 6GHz, one of the following is needed: (1) extend RRC configuration to allow more than 2 SCS options, or (2) reinterpret existing configuration to indicate 30 or 60kHz SCS instead of 15 and 30kHz.</w:t>
      </w:r>
    </w:p>
    <w:p w14:paraId="46B92B77" w14:textId="333A9D75" w:rsidR="006A203B" w:rsidRDefault="006A203B" w:rsidP="007576E0">
      <w:pPr>
        <w:pStyle w:val="BodyText"/>
      </w:pPr>
      <w:r>
        <w:t>Designing a PRB-block interlaced UL for 60 kHz SCS with e.g. a 20 MHz system BW can result in limited scheduling flexibility and/or output power. To mitigate this</w:t>
      </w:r>
      <w:r w:rsidR="0004455C">
        <w:t>,</w:t>
      </w:r>
      <w:r>
        <w:t xml:space="preserve"> </w:t>
      </w:r>
      <w:r w:rsidR="0004455C">
        <w:t>introducing</w:t>
      </w:r>
      <w:r>
        <w:t xml:space="preserve"> a sub-PRB interlace design has been proposed</w:t>
      </w:r>
      <w:r w:rsidR="0004455C">
        <w:t>. However, introducing a sub-PRB interlace design would have considerable impact in the Rel-15 NR specifications as the PRB is a fundamental building block in the specifications.</w:t>
      </w:r>
    </w:p>
    <w:p w14:paraId="5A8E349E" w14:textId="61FB438E" w:rsidR="007576E0" w:rsidRDefault="00784F07" w:rsidP="00784F07">
      <w:pPr>
        <w:pStyle w:val="Observation"/>
      </w:pPr>
      <w:bookmarkStart w:id="8" w:name="_Toc513700214"/>
      <w:r>
        <w:t xml:space="preserve">Supporting 60kHz for all signaling in NR-U requires considerable modifications </w:t>
      </w:r>
      <w:r w:rsidR="00C62702">
        <w:t>t</w:t>
      </w:r>
      <w:r>
        <w:t>o the Rel-15 NR specifications.</w:t>
      </w:r>
      <w:bookmarkEnd w:id="8"/>
    </w:p>
    <w:p w14:paraId="6E3DEAB8" w14:textId="77777777" w:rsidR="008A1DAD" w:rsidRDefault="008A1DAD" w:rsidP="003A6E90">
      <w:pPr>
        <w:pStyle w:val="BodyText"/>
      </w:pPr>
    </w:p>
    <w:p w14:paraId="74F58652" w14:textId="3F0642D0" w:rsidR="003A6E90" w:rsidRDefault="00287FE4" w:rsidP="003A6E90">
      <w:pPr>
        <w:pStyle w:val="BodyText"/>
      </w:pPr>
      <w:r>
        <w:t xml:space="preserve">For outdoor deployments even if output power is limited considerable delay spread can still be observed. For 60kHz SCS with NCP, the cyclic prefix is 1.17us. This corresponds to path distance of 1.17*c/2 = 175.5m which is not unlikely in outdoor environments. </w:t>
      </w:r>
      <w:r w:rsidR="003A6E90">
        <w:t>The cyclic prefix of 60kHz SCS with ECP is 4.17us which would correspond to a path distance of 625.5m</w:t>
      </w:r>
      <w:r w:rsidR="009F3EB0">
        <w:t xml:space="preserve"> and would be sufficient for most outdoor small cell deployments</w:t>
      </w:r>
      <w:r w:rsidR="003A6E90">
        <w:t xml:space="preserve">. </w:t>
      </w:r>
    </w:p>
    <w:p w14:paraId="0A2EE749" w14:textId="6AB75191" w:rsidR="003A6E90" w:rsidRDefault="003A6E90" w:rsidP="003A6E90">
      <w:pPr>
        <w:pStyle w:val="Observation"/>
      </w:pPr>
      <w:bookmarkStart w:id="9" w:name="_Toc513700215"/>
      <w:r>
        <w:t xml:space="preserve">For </w:t>
      </w:r>
      <w:r w:rsidR="009F3EB0">
        <w:t xml:space="preserve">outdoor deployments of </w:t>
      </w:r>
      <w:r>
        <w:t>NR-U using 60 kHz SCS</w:t>
      </w:r>
      <w:r w:rsidR="000A514D">
        <w:t>,</w:t>
      </w:r>
      <w:r>
        <w:t xml:space="preserve"> ECP need</w:t>
      </w:r>
      <w:r w:rsidR="000A514D">
        <w:t>s</w:t>
      </w:r>
      <w:r>
        <w:t xml:space="preserve"> to be considered.</w:t>
      </w:r>
      <w:bookmarkEnd w:id="9"/>
    </w:p>
    <w:p w14:paraId="1396C8E4" w14:textId="77777777" w:rsidR="008A1DAD" w:rsidRDefault="008A1DAD" w:rsidP="003A6E90">
      <w:pPr>
        <w:pStyle w:val="BodyText"/>
        <w:rPr>
          <w:lang w:val="en-US"/>
        </w:rPr>
      </w:pPr>
    </w:p>
    <w:p w14:paraId="446B99C9" w14:textId="65AF5D2F" w:rsidR="003A6E90" w:rsidRPr="00170FF5" w:rsidRDefault="009F3EB0" w:rsidP="003A6E90">
      <w:pPr>
        <w:pStyle w:val="BodyText"/>
        <w:rPr>
          <w:lang w:val="en-US"/>
        </w:rPr>
      </w:pPr>
      <w:r>
        <w:rPr>
          <w:lang w:val="en-US"/>
        </w:rPr>
        <w:t>Supporting ECP for 60 kHz SCS would further impact the SS/PBCH block design and candidate positions, bringing additional complexity to the specifications.</w:t>
      </w:r>
    </w:p>
    <w:p w14:paraId="7F5B93D8" w14:textId="7B7A6523" w:rsidR="00DE0939" w:rsidRDefault="008E7BA1" w:rsidP="00FE06E5">
      <w:pPr>
        <w:pStyle w:val="Proposal"/>
      </w:pPr>
      <w:bookmarkStart w:id="10" w:name="_Toc513700219"/>
      <w:r>
        <w:t>Only c</w:t>
      </w:r>
      <w:r w:rsidR="00DE0939">
        <w:t xml:space="preserve">onsider inclusion of 60kHz SCS after </w:t>
      </w:r>
      <w:r>
        <w:t xml:space="preserve">discussions on 30kHz SCS are </w:t>
      </w:r>
      <w:r w:rsidR="007216AE">
        <w:t>concluded.</w:t>
      </w:r>
      <w:bookmarkEnd w:id="10"/>
    </w:p>
    <w:p w14:paraId="54AD3214" w14:textId="09DAEB1E" w:rsidR="00DB72AF" w:rsidRDefault="00446710" w:rsidP="00DB72AF">
      <w:pPr>
        <w:pStyle w:val="Heading1"/>
      </w:pPr>
      <w:r>
        <w:t>4</w:t>
      </w:r>
      <w:r>
        <w:tab/>
      </w:r>
      <w:r w:rsidR="00DB72AF">
        <w:t>Wideband operation</w:t>
      </w:r>
    </w:p>
    <w:p w14:paraId="13671B16" w14:textId="77777777" w:rsidR="00DB72AF" w:rsidRDefault="00DB72AF" w:rsidP="00F275C6">
      <w:pPr>
        <w:pStyle w:val="BodyText"/>
      </w:pPr>
      <w:r w:rsidRPr="00F77360">
        <w:t xml:space="preserve">Similar to NR, it is expected that NR-U will support transmissions with wide bandwidth, e.g., up to </w:t>
      </w:r>
      <w:r>
        <w:t>several hundreds of MHz bandwidth</w:t>
      </w:r>
      <w:r w:rsidRPr="00F77360">
        <w:t>.</w:t>
      </w:r>
      <w:r>
        <w:t xml:space="preserve"> </w:t>
      </w:r>
      <w:r w:rsidRPr="00F77360">
        <w:t xml:space="preserve">However, there could be different radio technologies with different device’s capabilities that simultaneously share the same spectrum. It will be unlikely that a device will sense the channel free over the whole </w:t>
      </w:r>
      <w:r>
        <w:t>wide</w:t>
      </w:r>
      <w:r w:rsidRPr="00F77360">
        <w:t xml:space="preserve"> ban</w:t>
      </w:r>
      <w:r w:rsidRPr="00047BD0">
        <w:t>dwidth, especially</w:t>
      </w:r>
      <w:r w:rsidRPr="00F77360">
        <w:t xml:space="preserve"> at high load. Thus, it is beneficial for NR-U to support transmissions with</w:t>
      </w:r>
      <w:r>
        <w:t xml:space="preserve"> dynamic</w:t>
      </w:r>
      <w:r w:rsidRPr="00F77360">
        <w:t xml:space="preserve"> bandwidth, in which the </w:t>
      </w:r>
      <w:r>
        <w:t>device</w:t>
      </w:r>
      <w:r w:rsidRPr="00F77360">
        <w:t xml:space="preserve"> can decide which part(s) of the </w:t>
      </w:r>
      <w:r>
        <w:t xml:space="preserve">supported </w:t>
      </w:r>
      <w:r w:rsidRPr="00F77360">
        <w:t xml:space="preserve">bandwidth to use based on </w:t>
      </w:r>
      <w:r>
        <w:t>its</w:t>
      </w:r>
      <w:r w:rsidRPr="00F77360">
        <w:t xml:space="preserve"> LBT outcome.</w:t>
      </w:r>
    </w:p>
    <w:p w14:paraId="227E8DB0" w14:textId="7A6FEBF3" w:rsidR="00AD001C" w:rsidRDefault="00DB72AF" w:rsidP="00F275C6">
      <w:pPr>
        <w:pStyle w:val="BodyText"/>
        <w:rPr>
          <w:rFonts w:cs="Arial"/>
        </w:rPr>
      </w:pPr>
      <w:r>
        <w:t xml:space="preserve">There are two common approaches for the device to use in wideband transmissions: carrier aggregation (CA) and single carrier wideband transmissions. In CA transmissions (similar to LTE-based LAA), the device performs LBT per </w:t>
      </w:r>
      <w:r w:rsidR="000830F9">
        <w:t xml:space="preserve">component carrier (of, </w:t>
      </w:r>
      <w:r w:rsidRPr="00F77360">
        <w:rPr>
          <w:rFonts w:cs="Arial"/>
        </w:rPr>
        <w:t>e.g., 20MHz</w:t>
      </w:r>
      <w:r w:rsidR="000830F9">
        <w:rPr>
          <w:rFonts w:cs="Arial"/>
        </w:rPr>
        <w:t>)</w:t>
      </w:r>
      <w:r>
        <w:rPr>
          <w:rFonts w:cs="Arial"/>
        </w:rPr>
        <w:t xml:space="preserve">, then </w:t>
      </w:r>
      <w:r w:rsidR="000830F9">
        <w:rPr>
          <w:rFonts w:cs="Arial"/>
        </w:rPr>
        <w:t xml:space="preserve">transmit on </w:t>
      </w:r>
      <w:r>
        <w:rPr>
          <w:rFonts w:cs="Arial"/>
        </w:rPr>
        <w:t>each free component carrier (CC)</w:t>
      </w:r>
      <w:r>
        <w:t xml:space="preserve">. In </w:t>
      </w:r>
      <w:r>
        <w:lastRenderedPageBreak/>
        <w:t xml:space="preserve">single carrier wideband transmissions, the device </w:t>
      </w:r>
      <w:r w:rsidR="000830F9">
        <w:t xml:space="preserve">performs LBT per LBT bandwidth </w:t>
      </w:r>
      <w:r w:rsidR="006A18CE">
        <w:t>piece (</w:t>
      </w:r>
      <w:r w:rsidR="000830F9">
        <w:t>of 20 MHz</w:t>
      </w:r>
      <w:r w:rsidR="006A18CE">
        <w:t>)</w:t>
      </w:r>
      <w:r w:rsidR="000830F9">
        <w:t xml:space="preserve"> and aggregates resources from each </w:t>
      </w:r>
      <w:r>
        <w:rPr>
          <w:rFonts w:cs="Arial"/>
        </w:rPr>
        <w:t xml:space="preserve">free </w:t>
      </w:r>
      <w:r w:rsidR="000830F9">
        <w:rPr>
          <w:rFonts w:cs="Arial"/>
        </w:rPr>
        <w:t xml:space="preserve">LBT bandwidth </w:t>
      </w:r>
      <w:r w:rsidR="006A18CE">
        <w:t xml:space="preserve">piece </w:t>
      </w:r>
      <w:r w:rsidR="000830F9">
        <w:rPr>
          <w:rFonts w:cs="Arial"/>
        </w:rPr>
        <w:t>in a single physical SCH</w:t>
      </w:r>
      <w:r>
        <w:rPr>
          <w:rFonts w:cs="Arial"/>
        </w:rPr>
        <w:t>. Figure 1 shows an example for the wideband operations using</w:t>
      </w:r>
      <w:r>
        <w:t xml:space="preserve"> CA and single </w:t>
      </w:r>
      <w:r w:rsidR="00AD25AF">
        <w:t xml:space="preserve">system </w:t>
      </w:r>
      <w:r>
        <w:t xml:space="preserve">carrier wideband </w:t>
      </w:r>
      <w:r w:rsidR="00AD25AF">
        <w:rPr>
          <w:rFonts w:cs="Arial"/>
        </w:rPr>
        <w:t xml:space="preserve">of </w:t>
      </w:r>
      <w:r>
        <w:rPr>
          <w:rFonts w:cs="Arial"/>
        </w:rPr>
        <w:t xml:space="preserve">80 MHz. Different UEs may </w:t>
      </w:r>
      <w:r w:rsidR="006A18CE">
        <w:rPr>
          <w:rFonts w:cs="Arial"/>
        </w:rPr>
        <w:t xml:space="preserve">operate on different maximum bandwidth sizes and </w:t>
      </w:r>
      <w:r>
        <w:rPr>
          <w:rFonts w:cs="Arial"/>
        </w:rPr>
        <w:t xml:space="preserve">transmit with different </w:t>
      </w:r>
      <w:r w:rsidR="006A18CE">
        <w:rPr>
          <w:rFonts w:cs="Arial"/>
        </w:rPr>
        <w:t>number of RBs</w:t>
      </w:r>
      <w:r>
        <w:rPr>
          <w:rFonts w:cs="Arial"/>
        </w:rPr>
        <w:t xml:space="preserve"> depend</w:t>
      </w:r>
      <w:r w:rsidR="006A18CE">
        <w:rPr>
          <w:rFonts w:cs="Arial"/>
        </w:rPr>
        <w:t>ing</w:t>
      </w:r>
      <w:r>
        <w:rPr>
          <w:rFonts w:cs="Arial"/>
        </w:rPr>
        <w:t xml:space="preserve"> on their LBT’s outcomes.</w:t>
      </w:r>
      <w:r w:rsidR="00F4579A">
        <w:rPr>
          <w:rFonts w:cs="Arial"/>
        </w:rPr>
        <w:t xml:space="preserve"> </w:t>
      </w:r>
    </w:p>
    <w:p w14:paraId="7586CB18" w14:textId="3D68E890" w:rsidR="00DB72AF" w:rsidRDefault="00DF00BF" w:rsidP="00104DC8">
      <w:pPr>
        <w:pStyle w:val="BodyText"/>
        <w:spacing w:before="240"/>
        <w:jc w:val="center"/>
        <w:rPr>
          <w:rFonts w:cs="Arial"/>
        </w:rPr>
      </w:pPr>
      <w:r>
        <w:rPr>
          <w:rFonts w:cs="Arial"/>
          <w:noProof/>
        </w:rPr>
        <w:drawing>
          <wp:inline distT="0" distB="0" distL="0" distR="0" wp14:anchorId="2617C382" wp14:editId="224A0301">
            <wp:extent cx="5486400" cy="188366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6400" cy="1883664"/>
                    </a:xfrm>
                    <a:prstGeom prst="rect">
                      <a:avLst/>
                    </a:prstGeom>
                    <a:noFill/>
                  </pic:spPr>
                </pic:pic>
              </a:graphicData>
            </a:graphic>
          </wp:inline>
        </w:drawing>
      </w:r>
    </w:p>
    <w:p w14:paraId="4F2A4916" w14:textId="7093052E" w:rsidR="00DB72AF" w:rsidRPr="00104DC8" w:rsidRDefault="00FA64E3" w:rsidP="00104DC8">
      <w:pPr>
        <w:pStyle w:val="BodyText"/>
        <w:numPr>
          <w:ilvl w:val="0"/>
          <w:numId w:val="30"/>
        </w:numPr>
        <w:jc w:val="center"/>
        <w:rPr>
          <w:rFonts w:cs="Arial"/>
        </w:rPr>
      </w:pPr>
      <w:r w:rsidRPr="00FA64E3">
        <w:rPr>
          <w:rFonts w:cs="Arial"/>
        </w:rPr>
        <w:t>CA transmissions</w:t>
      </w:r>
      <w:r w:rsidRPr="00FA64E3">
        <w:rPr>
          <w:rFonts w:cs="Arial"/>
        </w:rPr>
        <w:tab/>
      </w:r>
      <w:r w:rsidRPr="00FA64E3">
        <w:rPr>
          <w:rFonts w:cs="Arial"/>
        </w:rPr>
        <w:tab/>
      </w:r>
      <w:r w:rsidRPr="00FA64E3">
        <w:rPr>
          <w:rFonts w:cs="Arial"/>
        </w:rPr>
        <w:tab/>
      </w:r>
      <w:r w:rsidRPr="00FA64E3">
        <w:rPr>
          <w:rFonts w:cs="Arial"/>
        </w:rPr>
        <w:tab/>
        <w:t>(b) single carrier wideband transmissions</w:t>
      </w:r>
      <w:r w:rsidRPr="00FA64E3">
        <w:rPr>
          <w:rFonts w:cs="Arial"/>
        </w:rPr>
        <w:tab/>
      </w:r>
      <w:r w:rsidR="00DB72AF">
        <w:t xml:space="preserve">   </w:t>
      </w:r>
      <w:r w:rsidR="00DB72AF" w:rsidRPr="00104DC8">
        <w:rPr>
          <w:rFonts w:cs="Arial"/>
        </w:rPr>
        <w:t xml:space="preserve">   </w:t>
      </w:r>
    </w:p>
    <w:p w14:paraId="2442A417" w14:textId="77777777" w:rsidR="00DB72AF" w:rsidRDefault="00DB72AF" w:rsidP="00F275C6">
      <w:pPr>
        <w:pStyle w:val="TF"/>
      </w:pPr>
      <w:r>
        <w:t>Figure 1 - CA and single carrier wideband transmissions.</w:t>
      </w:r>
    </w:p>
    <w:p w14:paraId="5D27B062" w14:textId="75A2E099" w:rsidR="00980504" w:rsidRDefault="00980504" w:rsidP="00980504">
      <w:pPr>
        <w:pStyle w:val="BodyText"/>
        <w:rPr>
          <w:rFonts w:cs="Arial"/>
        </w:rPr>
      </w:pPr>
      <w:r>
        <w:rPr>
          <w:rFonts w:cs="Arial"/>
        </w:rPr>
        <w:t xml:space="preserve">Note that separate CORESETs and search spaces need to be configured for different LBT bandwidth pieces to ensure the availability of control signalling when at least one LBT bandwidth piece is available. In the example shown in Figure 1(b). UE2 needs to monitor both CORESET2 and CORESET3 </w:t>
      </w:r>
      <w:r w:rsidR="00B94B0D">
        <w:rPr>
          <w:rFonts w:cs="Arial"/>
        </w:rPr>
        <w:t>since the channel may be available only in LBT bandwidth piece 2 or only in LBT bandwidth piece 3.</w:t>
      </w:r>
      <w:r>
        <w:rPr>
          <w:rFonts w:cs="Arial"/>
        </w:rPr>
        <w:t xml:space="preserve"> Similarly, UE3 shall monitor all four CORESETs to get its PDCCH. Furthermore, it </w:t>
      </w:r>
      <w:r w:rsidR="00E117E2">
        <w:rPr>
          <w:rFonts w:cs="Arial"/>
        </w:rPr>
        <w:t>is un</w:t>
      </w:r>
      <w:r>
        <w:rPr>
          <w:rFonts w:cs="Arial"/>
        </w:rPr>
        <w:t xml:space="preserve">desirable to configure a </w:t>
      </w:r>
      <w:r w:rsidR="00267794">
        <w:rPr>
          <w:rFonts w:cs="Arial"/>
        </w:rPr>
        <w:t xml:space="preserve">wide </w:t>
      </w:r>
      <w:r>
        <w:rPr>
          <w:rFonts w:cs="Arial"/>
        </w:rPr>
        <w:t xml:space="preserve">CORESET </w:t>
      </w:r>
      <w:r w:rsidR="00267794">
        <w:rPr>
          <w:rFonts w:cs="Arial"/>
        </w:rPr>
        <w:t>across</w:t>
      </w:r>
      <w:r>
        <w:rPr>
          <w:rFonts w:cs="Arial"/>
        </w:rPr>
        <w:t xml:space="preserve"> LBT bandwidth pieces. Either the PDCCH is interleaved across the LBT bandwidth pieces or all PDCCH candidates locate in the unavailable LBT bandwidth pieces</w:t>
      </w:r>
      <w:r w:rsidR="009E11E1">
        <w:rPr>
          <w:rFonts w:cs="Arial"/>
        </w:rPr>
        <w:t xml:space="preserve"> when part of the channel is busy.</w:t>
      </w:r>
      <w:r>
        <w:rPr>
          <w:rFonts w:cs="Arial"/>
        </w:rPr>
        <w:t xml:space="preserve"> Both results in loss of scheduling opportunities. There is hence no difference between the CA and wide BWP approaches in terms of number of CORESETs and search spaces to monitor by the UE. </w:t>
      </w:r>
    </w:p>
    <w:p w14:paraId="71384822" w14:textId="4FB13E9B" w:rsidR="008A1DAD" w:rsidRPr="00DA087D" w:rsidRDefault="00980504" w:rsidP="00DA087D">
      <w:pPr>
        <w:pStyle w:val="Observation"/>
      </w:pPr>
      <w:bookmarkStart w:id="11" w:name="_Toc513700216"/>
      <w:r w:rsidRPr="00A92B42">
        <w:t>There is no difference between the CA and wide BWP approaches in terms of number of CORESETs and search spaces to monitor by the UE</w:t>
      </w:r>
      <w:r>
        <w:t>.</w:t>
      </w:r>
      <w:bookmarkEnd w:id="11"/>
    </w:p>
    <w:p w14:paraId="183DCB9A" w14:textId="008B0B2C" w:rsidR="00C66E70" w:rsidRDefault="00C66E70" w:rsidP="00D829E9">
      <w:pPr>
        <w:pStyle w:val="BodyText"/>
      </w:pPr>
      <w:r>
        <w:rPr>
          <w:rFonts w:cs="Arial"/>
        </w:rPr>
        <w:t xml:space="preserve">If the gNB observes consistent high interference in certain component carriers, it can deconfigure or deactivate these carriers from the UEs. Similarly, if the gNB observes consistent high interference in certain LBT bandwidth piece(s), it can configure the BWP of the associated UEs to avoid these unusable LBT bandwidth piece(s). However, if the low-interference LBT bandwidth pieces are not contiguous, the gNB will need to configure more than one component carrier (since a NR BWP contains contiguous resource blocks). That is, single carrier operation mode cannot address all operation scenarios well and carrier aggregation operation mode should always be support for </w:t>
      </w:r>
      <w:r>
        <w:t>NR-U.</w:t>
      </w:r>
    </w:p>
    <w:p w14:paraId="6389B2AB" w14:textId="6ABA3E10" w:rsidR="00D918C4" w:rsidRDefault="00DB72AF" w:rsidP="00D829E9">
      <w:pPr>
        <w:pStyle w:val="BodyText"/>
      </w:pPr>
      <w:r>
        <w:t xml:space="preserve">In general, CA transmissions have less standard impact (using LTE-based LAA as baseline) and require less stringent processing requirements since </w:t>
      </w:r>
      <w:r w:rsidR="00817041">
        <w:t xml:space="preserve">parallel </w:t>
      </w:r>
      <w:r>
        <w:t>transport block</w:t>
      </w:r>
      <w:r w:rsidR="00817041">
        <w:t xml:space="preserve"> processing</w:t>
      </w:r>
      <w:r>
        <w:t xml:space="preserve"> can be </w:t>
      </w:r>
      <w:r w:rsidR="00817041">
        <w:t xml:space="preserve">performed </w:t>
      </w:r>
      <w:r>
        <w:t>independently per CC.</w:t>
      </w:r>
    </w:p>
    <w:p w14:paraId="49FF4F2D" w14:textId="685FBDB9" w:rsidR="008A1DAD" w:rsidRDefault="00DB72AF" w:rsidP="00DA087D">
      <w:pPr>
        <w:pStyle w:val="Proposal"/>
      </w:pPr>
      <w:bookmarkStart w:id="12" w:name="_Toc513643344"/>
      <w:bookmarkStart w:id="13" w:name="_Toc513700220"/>
      <w:bookmarkEnd w:id="12"/>
      <w:r w:rsidRPr="005435CF">
        <w:t xml:space="preserve">NR-U should support </w:t>
      </w:r>
      <w:r>
        <w:t>CA transmissions for wideband operations.</w:t>
      </w:r>
      <w:bookmarkEnd w:id="13"/>
    </w:p>
    <w:p w14:paraId="22E02A14" w14:textId="7BDC191B" w:rsidR="00D829E9" w:rsidRDefault="00090844" w:rsidP="000D0A6E">
      <w:pPr>
        <w:pStyle w:val="BodyText"/>
      </w:pPr>
      <w:r>
        <w:t xml:space="preserve">The single carrier wideband transmitting approach has its own advantage </w:t>
      </w:r>
      <w:r w:rsidR="00FA0ED6">
        <w:t xml:space="preserve">with the possibility of </w:t>
      </w:r>
      <w:r>
        <w:t xml:space="preserve">improving the spectral efficiency by exploiting the guard-band(s) between contiguous BWPs. </w:t>
      </w:r>
      <w:r w:rsidR="00B53F46">
        <w:t>However, the transport block sizes (TBS) are determined by the scheduling step and it span the whole BWP, which happens</w:t>
      </w:r>
      <w:r w:rsidR="000D0A6E">
        <w:t xml:space="preserve"> earlier</w:t>
      </w:r>
      <w:r w:rsidR="00B53F46">
        <w:t xml:space="preserve"> than any listen-before-talk decisions.</w:t>
      </w:r>
      <w:r w:rsidR="00B53F46" w:rsidRPr="00B53F46">
        <w:t xml:space="preserve"> </w:t>
      </w:r>
      <w:r w:rsidR="006A18CE">
        <w:t xml:space="preserve">If </w:t>
      </w:r>
      <w:r w:rsidR="001821BD">
        <w:t xml:space="preserve">fewer </w:t>
      </w:r>
      <w:r w:rsidR="006A18CE">
        <w:t xml:space="preserve">free LBT bandwidth </w:t>
      </w:r>
      <w:r w:rsidR="001821BD">
        <w:t xml:space="preserve">pieces than scheduler assumed are available, two </w:t>
      </w:r>
      <w:r w:rsidR="006A18CE">
        <w:t xml:space="preserve">options can be considered: </w:t>
      </w:r>
      <w:r w:rsidR="000D0A6E">
        <w:t>(1) rate matching, different coding rate is used to fit the same scheduled TBS. (2) puncturing the TB part that is mapped to the bandwi</w:t>
      </w:r>
      <w:r w:rsidR="00D829E9">
        <w:t>d</w:t>
      </w:r>
      <w:r w:rsidR="000D0A6E">
        <w:t xml:space="preserve">th part which </w:t>
      </w:r>
      <w:r w:rsidR="00D829E9">
        <w:t xml:space="preserve">fail LBT. However, both approaches </w:t>
      </w:r>
      <w:r w:rsidR="001821BD">
        <w:t xml:space="preserve">are undesirable since both </w:t>
      </w:r>
      <w:r w:rsidR="00D829E9">
        <w:t>result in severe reliability issues specially for high MCS values.</w:t>
      </w:r>
    </w:p>
    <w:p w14:paraId="5489698E" w14:textId="4DE5CAB1" w:rsidR="00D829E9" w:rsidRDefault="00D829E9" w:rsidP="00D829E9">
      <w:pPr>
        <w:pStyle w:val="Proposal"/>
      </w:pPr>
      <w:bookmarkStart w:id="14" w:name="_Toc513700221"/>
      <w:r>
        <w:t xml:space="preserve">Further study </w:t>
      </w:r>
      <w:r w:rsidR="00716800">
        <w:t xml:space="preserve">the impact of sub-band LBT on </w:t>
      </w:r>
      <w:r>
        <w:t>single carrier wideband transmissions for wideband operations.</w:t>
      </w:r>
      <w:bookmarkEnd w:id="14"/>
    </w:p>
    <w:p w14:paraId="269573C7" w14:textId="344DA299" w:rsidR="00C01F33" w:rsidRPr="00CE0424" w:rsidRDefault="00446710" w:rsidP="00CE0424">
      <w:pPr>
        <w:pStyle w:val="Heading1"/>
      </w:pPr>
      <w:r>
        <w:lastRenderedPageBreak/>
        <w:t>5</w:t>
      </w:r>
      <w:r>
        <w:tab/>
      </w:r>
      <w:r w:rsidR="00C01F33" w:rsidRPr="00CE0424">
        <w:t>Conclusion</w:t>
      </w:r>
    </w:p>
    <w:p w14:paraId="4E87633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AC9C3A0" w14:textId="77777777" w:rsidR="00DA087D"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Cs/>
        </w:rPr>
        <w:fldChar w:fldCharType="begin"/>
      </w:r>
      <w:r>
        <w:rPr>
          <w:bCs/>
        </w:rPr>
        <w:instrText xml:space="preserve"> TOC \f O \n \h \z \t "Observation" \c </w:instrText>
      </w:r>
      <w:r>
        <w:rPr>
          <w:bCs/>
        </w:rPr>
        <w:fldChar w:fldCharType="separate"/>
      </w:r>
      <w:hyperlink w:anchor="_Toc513700212" w:history="1">
        <w:r w:rsidR="00DA087D" w:rsidRPr="00870893">
          <w:rPr>
            <w:rStyle w:val="Hyperlink"/>
            <w:noProof/>
          </w:rPr>
          <w:t>Observation 1</w:t>
        </w:r>
        <w:r w:rsidR="00DA087D">
          <w:rPr>
            <w:rFonts w:asciiTheme="minorHAnsi" w:eastAsiaTheme="minorEastAsia" w:hAnsiTheme="minorHAnsi" w:cstheme="minorBidi"/>
            <w:b w:val="0"/>
            <w:noProof/>
            <w:sz w:val="22"/>
            <w:szCs w:val="22"/>
            <w:lang w:val="en-US" w:eastAsia="en-US"/>
          </w:rPr>
          <w:tab/>
        </w:r>
        <w:r w:rsidR="00DA087D" w:rsidRPr="00870893">
          <w:rPr>
            <w:rStyle w:val="Hyperlink"/>
            <w:noProof/>
          </w:rPr>
          <w:t>NR Rel15 supports DL and UL transmission starting in any symbol.</w:t>
        </w:r>
      </w:hyperlink>
    </w:p>
    <w:p w14:paraId="6962A15F" w14:textId="77777777" w:rsidR="00DA087D" w:rsidRDefault="00DA087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00213" w:history="1">
        <w:r w:rsidRPr="00870893">
          <w:rPr>
            <w:rStyle w:val="Hyperlink"/>
            <w:noProof/>
          </w:rPr>
          <w:t>Observation 2</w:t>
        </w:r>
        <w:r>
          <w:rPr>
            <w:rFonts w:asciiTheme="minorHAnsi" w:eastAsiaTheme="minorEastAsia" w:hAnsiTheme="minorHAnsi" w:cstheme="minorBidi"/>
            <w:b w:val="0"/>
            <w:noProof/>
            <w:sz w:val="22"/>
            <w:szCs w:val="22"/>
            <w:lang w:val="en-US" w:eastAsia="en-US"/>
          </w:rPr>
          <w:tab/>
        </w:r>
        <w:r w:rsidRPr="00870893">
          <w:rPr>
            <w:rStyle w:val="Hyperlink"/>
            <w:noProof/>
          </w:rPr>
          <w:t>The periodicity of the starting point is controlled by the CORESET and search space RRC configuration. The monitoring periodicity is decoupled from the supported Type 2 transmission duration {2,4,7}</w:t>
        </w:r>
      </w:hyperlink>
    </w:p>
    <w:p w14:paraId="07D5A7F6" w14:textId="77777777" w:rsidR="00DA087D" w:rsidRDefault="00DA087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00214" w:history="1">
        <w:r w:rsidRPr="00870893">
          <w:rPr>
            <w:rStyle w:val="Hyperlink"/>
            <w:noProof/>
          </w:rPr>
          <w:t>Observation 3</w:t>
        </w:r>
        <w:r>
          <w:rPr>
            <w:rFonts w:asciiTheme="minorHAnsi" w:eastAsiaTheme="minorEastAsia" w:hAnsiTheme="minorHAnsi" w:cstheme="minorBidi"/>
            <w:b w:val="0"/>
            <w:noProof/>
            <w:sz w:val="22"/>
            <w:szCs w:val="22"/>
            <w:lang w:val="en-US" w:eastAsia="en-US"/>
          </w:rPr>
          <w:tab/>
        </w:r>
        <w:r w:rsidRPr="00870893">
          <w:rPr>
            <w:rStyle w:val="Hyperlink"/>
            <w:noProof/>
          </w:rPr>
          <w:t>Supporting 60kHz for all signaling in NR-U requires considerable modifications to the Rel-15 NR specifications.</w:t>
        </w:r>
      </w:hyperlink>
    </w:p>
    <w:p w14:paraId="2A9931CE" w14:textId="77777777" w:rsidR="00DA087D" w:rsidRDefault="00DA087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00215" w:history="1">
        <w:r w:rsidRPr="00870893">
          <w:rPr>
            <w:rStyle w:val="Hyperlink"/>
            <w:noProof/>
          </w:rPr>
          <w:t>Observation 4</w:t>
        </w:r>
        <w:r>
          <w:rPr>
            <w:rFonts w:asciiTheme="minorHAnsi" w:eastAsiaTheme="minorEastAsia" w:hAnsiTheme="minorHAnsi" w:cstheme="minorBidi"/>
            <w:b w:val="0"/>
            <w:noProof/>
            <w:sz w:val="22"/>
            <w:szCs w:val="22"/>
            <w:lang w:val="en-US" w:eastAsia="en-US"/>
          </w:rPr>
          <w:tab/>
        </w:r>
        <w:r w:rsidRPr="00870893">
          <w:rPr>
            <w:rStyle w:val="Hyperlink"/>
            <w:noProof/>
          </w:rPr>
          <w:t>For outdoor deployments of NR-U using 60 kHz SCS, ECP needs to be considered.</w:t>
        </w:r>
      </w:hyperlink>
    </w:p>
    <w:p w14:paraId="52187078" w14:textId="77777777" w:rsidR="00DA087D" w:rsidRDefault="00DA087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00216" w:history="1">
        <w:r w:rsidRPr="00870893">
          <w:rPr>
            <w:rStyle w:val="Hyperlink"/>
            <w:noProof/>
          </w:rPr>
          <w:t>Observation 5</w:t>
        </w:r>
        <w:r>
          <w:rPr>
            <w:rFonts w:asciiTheme="minorHAnsi" w:eastAsiaTheme="minorEastAsia" w:hAnsiTheme="minorHAnsi" w:cstheme="minorBidi"/>
            <w:b w:val="0"/>
            <w:noProof/>
            <w:sz w:val="22"/>
            <w:szCs w:val="22"/>
            <w:lang w:val="en-US" w:eastAsia="en-US"/>
          </w:rPr>
          <w:tab/>
        </w:r>
        <w:r w:rsidRPr="00870893">
          <w:rPr>
            <w:rStyle w:val="Hyperlink"/>
            <w:noProof/>
          </w:rPr>
          <w:t>There is no difference between the CA and wide BWP approaches in terms of number of CORESETs and search spaces to monitor by the UE.</w:t>
        </w:r>
      </w:hyperlink>
    </w:p>
    <w:p w14:paraId="6449A13A" w14:textId="7E2A60A0"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270DB909" w14:textId="77777777" w:rsidR="00DA087D"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513700217" w:history="1">
        <w:r w:rsidR="00DA087D" w:rsidRPr="00C913B0">
          <w:rPr>
            <w:rStyle w:val="Hyperlink"/>
            <w:noProof/>
          </w:rPr>
          <w:t>Proposal 1</w:t>
        </w:r>
        <w:r w:rsidR="00DA087D">
          <w:rPr>
            <w:rFonts w:asciiTheme="minorHAnsi" w:eastAsiaTheme="minorEastAsia" w:hAnsiTheme="minorHAnsi" w:cstheme="minorBidi"/>
            <w:b w:val="0"/>
            <w:noProof/>
            <w:sz w:val="22"/>
            <w:szCs w:val="22"/>
            <w:lang w:val="en-US" w:eastAsia="en-US"/>
          </w:rPr>
          <w:tab/>
        </w:r>
        <w:r w:rsidR="00DA087D" w:rsidRPr="00C913B0">
          <w:rPr>
            <w:rStyle w:val="Hyperlink"/>
            <w:noProof/>
          </w:rPr>
          <w:t>No additional DL or UL starting positions are needed for NR-U</w:t>
        </w:r>
      </w:hyperlink>
    </w:p>
    <w:p w14:paraId="548051DB" w14:textId="77777777" w:rsidR="00DA087D" w:rsidRDefault="00DA087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00218" w:history="1">
        <w:r w:rsidRPr="00C913B0">
          <w:rPr>
            <w:rStyle w:val="Hyperlink"/>
            <w:noProof/>
          </w:rPr>
          <w:t>Proposal 2</w:t>
        </w:r>
        <w:r>
          <w:rPr>
            <w:rFonts w:asciiTheme="minorHAnsi" w:eastAsiaTheme="minorEastAsia" w:hAnsiTheme="minorHAnsi" w:cstheme="minorBidi"/>
            <w:b w:val="0"/>
            <w:noProof/>
            <w:sz w:val="22"/>
            <w:szCs w:val="22"/>
            <w:lang w:val="en-US" w:eastAsia="en-US"/>
          </w:rPr>
          <w:tab/>
        </w:r>
        <w:r w:rsidRPr="00C913B0">
          <w:rPr>
            <w:rStyle w:val="Hyperlink"/>
            <w:noProof/>
          </w:rPr>
          <w:t>30 kHz subcarrier spacing is supported for NR unlicensed @ 5 GHz and 6GHz.</w:t>
        </w:r>
      </w:hyperlink>
    </w:p>
    <w:p w14:paraId="59D11241" w14:textId="77777777" w:rsidR="00DA087D" w:rsidRDefault="00DA087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00219" w:history="1">
        <w:r w:rsidRPr="00C913B0">
          <w:rPr>
            <w:rStyle w:val="Hyperlink"/>
            <w:noProof/>
          </w:rPr>
          <w:t>Proposal 3</w:t>
        </w:r>
        <w:r>
          <w:rPr>
            <w:rFonts w:asciiTheme="minorHAnsi" w:eastAsiaTheme="minorEastAsia" w:hAnsiTheme="minorHAnsi" w:cstheme="minorBidi"/>
            <w:b w:val="0"/>
            <w:noProof/>
            <w:sz w:val="22"/>
            <w:szCs w:val="22"/>
            <w:lang w:val="en-US" w:eastAsia="en-US"/>
          </w:rPr>
          <w:tab/>
        </w:r>
        <w:r w:rsidRPr="00C913B0">
          <w:rPr>
            <w:rStyle w:val="Hyperlink"/>
            <w:noProof/>
          </w:rPr>
          <w:t>Only consider inclusion of 60kHz SCS after discussions on 30kHz SCS are concluded.</w:t>
        </w:r>
      </w:hyperlink>
    </w:p>
    <w:p w14:paraId="44B61D55" w14:textId="77777777" w:rsidR="00DA087D" w:rsidRDefault="00DA087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00220" w:history="1">
        <w:r w:rsidRPr="00C913B0">
          <w:rPr>
            <w:rStyle w:val="Hyperlink"/>
            <w:noProof/>
          </w:rPr>
          <w:t>Proposal 4</w:t>
        </w:r>
        <w:r>
          <w:rPr>
            <w:rFonts w:asciiTheme="minorHAnsi" w:eastAsiaTheme="minorEastAsia" w:hAnsiTheme="minorHAnsi" w:cstheme="minorBidi"/>
            <w:b w:val="0"/>
            <w:noProof/>
            <w:sz w:val="22"/>
            <w:szCs w:val="22"/>
            <w:lang w:val="en-US" w:eastAsia="en-US"/>
          </w:rPr>
          <w:tab/>
        </w:r>
        <w:r w:rsidRPr="00C913B0">
          <w:rPr>
            <w:rStyle w:val="Hyperlink"/>
            <w:noProof/>
          </w:rPr>
          <w:t>NR-U should support CA transmissions for wideband operations.</w:t>
        </w:r>
      </w:hyperlink>
    </w:p>
    <w:p w14:paraId="199017EE" w14:textId="77777777" w:rsidR="00DA087D" w:rsidRDefault="00DA087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00221" w:history="1">
        <w:r w:rsidRPr="00C913B0">
          <w:rPr>
            <w:rStyle w:val="Hyperlink"/>
            <w:noProof/>
          </w:rPr>
          <w:t>Proposal 5</w:t>
        </w:r>
        <w:r>
          <w:rPr>
            <w:rFonts w:asciiTheme="minorHAnsi" w:eastAsiaTheme="minorEastAsia" w:hAnsiTheme="minorHAnsi" w:cstheme="minorBidi"/>
            <w:b w:val="0"/>
            <w:noProof/>
            <w:sz w:val="22"/>
            <w:szCs w:val="22"/>
            <w:lang w:val="en-US" w:eastAsia="en-US"/>
          </w:rPr>
          <w:tab/>
        </w:r>
        <w:r w:rsidRPr="00C913B0">
          <w:rPr>
            <w:rStyle w:val="Hyperlink"/>
            <w:noProof/>
          </w:rPr>
          <w:t>Further study the impact of sub-band LBT on single carrier wideband transmissions for wideband operations.</w:t>
        </w:r>
      </w:hyperlink>
    </w:p>
    <w:p w14:paraId="6016A5B1" w14:textId="4BA8D55A" w:rsidR="006E1C82" w:rsidRPr="00CE0424" w:rsidRDefault="006E1C82" w:rsidP="006E1C82">
      <w:pPr>
        <w:pStyle w:val="BodyText"/>
        <w:rPr>
          <w:b/>
          <w:bCs/>
        </w:rPr>
      </w:pPr>
      <w:r>
        <w:rPr>
          <w:b/>
          <w:bCs/>
          <w:lang w:val="en-US"/>
        </w:rPr>
        <w:fldChar w:fldCharType="end"/>
      </w:r>
      <w:r w:rsidRPr="00CE0424">
        <w:rPr>
          <w:b/>
          <w:bCs/>
        </w:rPr>
        <w:t xml:space="preserve"> </w:t>
      </w:r>
    </w:p>
    <w:p w14:paraId="5FDF5389" w14:textId="77777777" w:rsidR="008E065E" w:rsidRPr="00CE0424" w:rsidRDefault="008E065E" w:rsidP="008E065E">
      <w:pPr>
        <w:rPr>
          <w:b/>
          <w:bCs/>
        </w:rPr>
      </w:pPr>
    </w:p>
    <w:p w14:paraId="15949F9D" w14:textId="77777777" w:rsidR="008E065E" w:rsidRPr="00CE0424" w:rsidRDefault="008E065E" w:rsidP="008E065E">
      <w:pPr>
        <w:rPr>
          <w:b/>
          <w:bCs/>
        </w:rPr>
      </w:pPr>
    </w:p>
    <w:p w14:paraId="01BC12A5" w14:textId="77777777" w:rsidR="00AB0BC8" w:rsidRPr="00CE0424" w:rsidRDefault="00AB0BC8" w:rsidP="00A04F49">
      <w:pPr>
        <w:rPr>
          <w:b/>
          <w:bCs/>
        </w:rPr>
      </w:pPr>
    </w:p>
    <w:p w14:paraId="2723F7CB" w14:textId="77777777" w:rsidR="00311702" w:rsidRPr="00CE0424" w:rsidRDefault="00311702" w:rsidP="00AB0BC8"/>
    <w:p w14:paraId="29E5F4E6" w14:textId="77777777" w:rsidR="00C01F33" w:rsidRPr="00CE0424" w:rsidRDefault="00C01F33" w:rsidP="006E062C"/>
    <w:p w14:paraId="75F0F757" w14:textId="77777777" w:rsidR="00F507D1" w:rsidRPr="00CE0424" w:rsidRDefault="00F507D1" w:rsidP="00CE0424">
      <w:pPr>
        <w:pStyle w:val="Heading1"/>
      </w:pPr>
      <w:bookmarkStart w:id="15" w:name="_In-sequence_SDU_delivery"/>
      <w:bookmarkEnd w:id="15"/>
      <w:r w:rsidRPr="00CE0424">
        <w:t>References</w:t>
      </w:r>
    </w:p>
    <w:p w14:paraId="379813D8" w14:textId="0291B1F3" w:rsidR="003A7EF3" w:rsidRPr="00CE0424" w:rsidRDefault="00E745CA" w:rsidP="00063A58">
      <w:pPr>
        <w:pStyle w:val="Reference"/>
        <w:rPr>
          <w:lang w:eastAsia="ja-JP"/>
        </w:rPr>
      </w:pPr>
      <w:r>
        <w:rPr>
          <w:lang w:eastAsia="ja-JP"/>
        </w:rPr>
        <w:t>Chairman’s notes, RAN1#92bis, Sanya, China</w:t>
      </w:r>
    </w:p>
    <w:sectPr w:rsidR="003A7EF3" w:rsidRPr="00CE0424"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DD0EB" w14:textId="77777777" w:rsidR="00063CFC" w:rsidRDefault="00063CFC">
      <w:r>
        <w:separator/>
      </w:r>
    </w:p>
  </w:endnote>
  <w:endnote w:type="continuationSeparator" w:id="0">
    <w:p w14:paraId="6DDB8F9E" w14:textId="77777777" w:rsidR="00063CFC" w:rsidRDefault="00063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6C17BDF2" w:rsidR="00033FEE" w:rsidRDefault="00033F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B500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500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E4210" w14:textId="77777777" w:rsidR="00063CFC" w:rsidRDefault="00063CFC">
      <w:r>
        <w:separator/>
      </w:r>
    </w:p>
  </w:footnote>
  <w:footnote w:type="continuationSeparator" w:id="0">
    <w:p w14:paraId="780CC237" w14:textId="77777777" w:rsidR="00063CFC" w:rsidRDefault="00063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033FEE" w:rsidRDefault="00033F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1A464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F887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5F221A"/>
    <w:multiLevelType w:val="hybridMultilevel"/>
    <w:tmpl w:val="1F84793A"/>
    <w:lvl w:ilvl="0" w:tplc="47502D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7" w15:restartNumberingAfterBreak="0">
    <w:nsid w:val="18AA6920"/>
    <w:multiLevelType w:val="hybridMultilevel"/>
    <w:tmpl w:val="7182E3FE"/>
    <w:lvl w:ilvl="0" w:tplc="A296FB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175A5916"/>
    <w:lvl w:ilvl="0" w:tplc="FCBEC8F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773524B"/>
    <w:multiLevelType w:val="hybridMultilevel"/>
    <w:tmpl w:val="B5A8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744F31"/>
    <w:multiLevelType w:val="hybridMultilevel"/>
    <w:tmpl w:val="BE044120"/>
    <w:lvl w:ilvl="0" w:tplc="47502D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11"/>
  </w:num>
  <w:num w:numId="6">
    <w:abstractNumId w:val="17"/>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5"/>
  </w:num>
  <w:num w:numId="17">
    <w:abstractNumId w:val="8"/>
  </w:num>
  <w:num w:numId="18">
    <w:abstractNumId w:val="9"/>
  </w:num>
  <w:num w:numId="19">
    <w:abstractNumId w:val="5"/>
  </w:num>
  <w:num w:numId="20">
    <w:abstractNumId w:val="27"/>
  </w:num>
  <w:num w:numId="21">
    <w:abstractNumId w:val="13"/>
  </w:num>
  <w:num w:numId="22">
    <w:abstractNumId w:val="26"/>
  </w:num>
  <w:num w:numId="23">
    <w:abstractNumId w:val="28"/>
  </w:num>
  <w:num w:numId="24">
    <w:abstractNumId w:val="19"/>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23"/>
  </w:num>
  <w:num w:numId="28">
    <w:abstractNumId w:val="6"/>
  </w:num>
  <w:num w:numId="29">
    <w:abstractNumId w:val="18"/>
  </w:num>
  <w:num w:numId="3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2A37"/>
    <w:rsid w:val="00003D73"/>
    <w:rsid w:val="0000564C"/>
    <w:rsid w:val="00006446"/>
    <w:rsid w:val="00006896"/>
    <w:rsid w:val="00007CDC"/>
    <w:rsid w:val="00011B28"/>
    <w:rsid w:val="00015D15"/>
    <w:rsid w:val="0002564D"/>
    <w:rsid w:val="00025ECA"/>
    <w:rsid w:val="000325B8"/>
    <w:rsid w:val="00033FEE"/>
    <w:rsid w:val="00034C15"/>
    <w:rsid w:val="00036BA1"/>
    <w:rsid w:val="000422E2"/>
    <w:rsid w:val="00042F22"/>
    <w:rsid w:val="000444EF"/>
    <w:rsid w:val="0004455C"/>
    <w:rsid w:val="00052A07"/>
    <w:rsid w:val="000534E3"/>
    <w:rsid w:val="0005606A"/>
    <w:rsid w:val="00057117"/>
    <w:rsid w:val="000616E7"/>
    <w:rsid w:val="00063A58"/>
    <w:rsid w:val="00063CFC"/>
    <w:rsid w:val="0006487E"/>
    <w:rsid w:val="00065E1A"/>
    <w:rsid w:val="00077E5F"/>
    <w:rsid w:val="0008036A"/>
    <w:rsid w:val="00081AE6"/>
    <w:rsid w:val="000830F9"/>
    <w:rsid w:val="000855EB"/>
    <w:rsid w:val="00085B52"/>
    <w:rsid w:val="000866F2"/>
    <w:rsid w:val="0009009F"/>
    <w:rsid w:val="00090844"/>
    <w:rsid w:val="00091557"/>
    <w:rsid w:val="000924C1"/>
    <w:rsid w:val="000924F0"/>
    <w:rsid w:val="00093474"/>
    <w:rsid w:val="0009510F"/>
    <w:rsid w:val="000A1264"/>
    <w:rsid w:val="000A1B7B"/>
    <w:rsid w:val="000A514D"/>
    <w:rsid w:val="000A56F2"/>
    <w:rsid w:val="000A6E76"/>
    <w:rsid w:val="000B2719"/>
    <w:rsid w:val="000B3A8F"/>
    <w:rsid w:val="000B4AB9"/>
    <w:rsid w:val="000B58C3"/>
    <w:rsid w:val="000B61E9"/>
    <w:rsid w:val="000C165A"/>
    <w:rsid w:val="000C2E19"/>
    <w:rsid w:val="000D0A6E"/>
    <w:rsid w:val="000D0D07"/>
    <w:rsid w:val="000D4797"/>
    <w:rsid w:val="000E0527"/>
    <w:rsid w:val="000E1E92"/>
    <w:rsid w:val="000F06D6"/>
    <w:rsid w:val="000F0EB1"/>
    <w:rsid w:val="000F1106"/>
    <w:rsid w:val="000F2FA5"/>
    <w:rsid w:val="000F3BE9"/>
    <w:rsid w:val="000F3F6C"/>
    <w:rsid w:val="000F6DF3"/>
    <w:rsid w:val="001005FF"/>
    <w:rsid w:val="00104BB1"/>
    <w:rsid w:val="00104DC8"/>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0FF5"/>
    <w:rsid w:val="00173A8E"/>
    <w:rsid w:val="0017502C"/>
    <w:rsid w:val="0018143F"/>
    <w:rsid w:val="00181FF8"/>
    <w:rsid w:val="001821BD"/>
    <w:rsid w:val="00190AC1"/>
    <w:rsid w:val="0019341A"/>
    <w:rsid w:val="00195C4B"/>
    <w:rsid w:val="001960A1"/>
    <w:rsid w:val="0019625E"/>
    <w:rsid w:val="00197DF9"/>
    <w:rsid w:val="001A11F9"/>
    <w:rsid w:val="001A1987"/>
    <w:rsid w:val="001A2564"/>
    <w:rsid w:val="001A6173"/>
    <w:rsid w:val="001A6CBA"/>
    <w:rsid w:val="001B0387"/>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023"/>
    <w:rsid w:val="00214DA8"/>
    <w:rsid w:val="00215423"/>
    <w:rsid w:val="002158FA"/>
    <w:rsid w:val="00220600"/>
    <w:rsid w:val="00221C73"/>
    <w:rsid w:val="002224DB"/>
    <w:rsid w:val="00223D99"/>
    <w:rsid w:val="00223FCB"/>
    <w:rsid w:val="002252C3"/>
    <w:rsid w:val="00225C54"/>
    <w:rsid w:val="00230765"/>
    <w:rsid w:val="00230D18"/>
    <w:rsid w:val="002319E4"/>
    <w:rsid w:val="00232FAF"/>
    <w:rsid w:val="00235632"/>
    <w:rsid w:val="00235872"/>
    <w:rsid w:val="00241559"/>
    <w:rsid w:val="002435B3"/>
    <w:rsid w:val="002458EB"/>
    <w:rsid w:val="002500C8"/>
    <w:rsid w:val="00257543"/>
    <w:rsid w:val="002617E7"/>
    <w:rsid w:val="00262B6C"/>
    <w:rsid w:val="00263A7D"/>
    <w:rsid w:val="00264228"/>
    <w:rsid w:val="00264334"/>
    <w:rsid w:val="0026473E"/>
    <w:rsid w:val="00266214"/>
    <w:rsid w:val="00267794"/>
    <w:rsid w:val="00267C83"/>
    <w:rsid w:val="00267E63"/>
    <w:rsid w:val="0027144F"/>
    <w:rsid w:val="00271813"/>
    <w:rsid w:val="00271F3A"/>
    <w:rsid w:val="00272093"/>
    <w:rsid w:val="00273278"/>
    <w:rsid w:val="002737F4"/>
    <w:rsid w:val="002805F5"/>
    <w:rsid w:val="00280751"/>
    <w:rsid w:val="0028280A"/>
    <w:rsid w:val="00286ACD"/>
    <w:rsid w:val="00287838"/>
    <w:rsid w:val="00287FE4"/>
    <w:rsid w:val="002907B5"/>
    <w:rsid w:val="00291B3A"/>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65F4"/>
    <w:rsid w:val="00301CE6"/>
    <w:rsid w:val="0030256B"/>
    <w:rsid w:val="0030501F"/>
    <w:rsid w:val="00307BA1"/>
    <w:rsid w:val="00311702"/>
    <w:rsid w:val="00311E82"/>
    <w:rsid w:val="00313FD6"/>
    <w:rsid w:val="003143BD"/>
    <w:rsid w:val="00314C73"/>
    <w:rsid w:val="00315363"/>
    <w:rsid w:val="003203ED"/>
    <w:rsid w:val="00322C9F"/>
    <w:rsid w:val="00324D23"/>
    <w:rsid w:val="00331751"/>
    <w:rsid w:val="00334579"/>
    <w:rsid w:val="00335858"/>
    <w:rsid w:val="00336BDA"/>
    <w:rsid w:val="003379F4"/>
    <w:rsid w:val="00342BD7"/>
    <w:rsid w:val="00346DB5"/>
    <w:rsid w:val="003477B1"/>
    <w:rsid w:val="00357380"/>
    <w:rsid w:val="003602D9"/>
    <w:rsid w:val="003604CE"/>
    <w:rsid w:val="00370E47"/>
    <w:rsid w:val="003742AC"/>
    <w:rsid w:val="00377CE1"/>
    <w:rsid w:val="003815B5"/>
    <w:rsid w:val="00385BF0"/>
    <w:rsid w:val="003939FF"/>
    <w:rsid w:val="003A2223"/>
    <w:rsid w:val="003A2A0F"/>
    <w:rsid w:val="003A45A1"/>
    <w:rsid w:val="003A5B0A"/>
    <w:rsid w:val="003A5FBE"/>
    <w:rsid w:val="003A6BAC"/>
    <w:rsid w:val="003A6E90"/>
    <w:rsid w:val="003A70A4"/>
    <w:rsid w:val="003A7EF3"/>
    <w:rsid w:val="003B159C"/>
    <w:rsid w:val="003B369F"/>
    <w:rsid w:val="003B36A3"/>
    <w:rsid w:val="003B37D3"/>
    <w:rsid w:val="003B64BB"/>
    <w:rsid w:val="003B721B"/>
    <w:rsid w:val="003B7FE5"/>
    <w:rsid w:val="003C11C8"/>
    <w:rsid w:val="003C2702"/>
    <w:rsid w:val="003C4F93"/>
    <w:rsid w:val="003C7806"/>
    <w:rsid w:val="003D109F"/>
    <w:rsid w:val="003D2478"/>
    <w:rsid w:val="003D2D90"/>
    <w:rsid w:val="003D3C45"/>
    <w:rsid w:val="003D5B1F"/>
    <w:rsid w:val="003E15FA"/>
    <w:rsid w:val="003E55E4"/>
    <w:rsid w:val="003E74E3"/>
    <w:rsid w:val="003F05C7"/>
    <w:rsid w:val="003F2CD4"/>
    <w:rsid w:val="003F6BBE"/>
    <w:rsid w:val="004000E8"/>
    <w:rsid w:val="004003FF"/>
    <w:rsid w:val="00402E2B"/>
    <w:rsid w:val="0040512B"/>
    <w:rsid w:val="00405CA5"/>
    <w:rsid w:val="00407CD3"/>
    <w:rsid w:val="00410134"/>
    <w:rsid w:val="00410B72"/>
    <w:rsid w:val="00410F18"/>
    <w:rsid w:val="00411B2A"/>
    <w:rsid w:val="0041263E"/>
    <w:rsid w:val="00413AAC"/>
    <w:rsid w:val="00413E92"/>
    <w:rsid w:val="00417A70"/>
    <w:rsid w:val="00421105"/>
    <w:rsid w:val="00421245"/>
    <w:rsid w:val="00422AA4"/>
    <w:rsid w:val="004242F4"/>
    <w:rsid w:val="00427248"/>
    <w:rsid w:val="00437447"/>
    <w:rsid w:val="00441019"/>
    <w:rsid w:val="00441A92"/>
    <w:rsid w:val="004431DC"/>
    <w:rsid w:val="00444F56"/>
    <w:rsid w:val="00446488"/>
    <w:rsid w:val="00446710"/>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55E5"/>
    <w:rsid w:val="004B6F6A"/>
    <w:rsid w:val="004B7C0C"/>
    <w:rsid w:val="004C3898"/>
    <w:rsid w:val="004D36B1"/>
    <w:rsid w:val="004D7EBD"/>
    <w:rsid w:val="004E2680"/>
    <w:rsid w:val="004E28F9"/>
    <w:rsid w:val="004E3838"/>
    <w:rsid w:val="004E462E"/>
    <w:rsid w:val="004E56DC"/>
    <w:rsid w:val="004E76F4"/>
    <w:rsid w:val="004F0B4E"/>
    <w:rsid w:val="004F0B6C"/>
    <w:rsid w:val="004F140F"/>
    <w:rsid w:val="004F2078"/>
    <w:rsid w:val="004F4DA3"/>
    <w:rsid w:val="00506557"/>
    <w:rsid w:val="0050677A"/>
    <w:rsid w:val="005108D8"/>
    <w:rsid w:val="005116F9"/>
    <w:rsid w:val="005153A7"/>
    <w:rsid w:val="005219CF"/>
    <w:rsid w:val="00534B59"/>
    <w:rsid w:val="00536759"/>
    <w:rsid w:val="00537C62"/>
    <w:rsid w:val="00546970"/>
    <w:rsid w:val="0055087F"/>
    <w:rsid w:val="00554E19"/>
    <w:rsid w:val="0056121F"/>
    <w:rsid w:val="00572505"/>
    <w:rsid w:val="00582809"/>
    <w:rsid w:val="005867DE"/>
    <w:rsid w:val="0058798C"/>
    <w:rsid w:val="005900FA"/>
    <w:rsid w:val="005935A4"/>
    <w:rsid w:val="005948C2"/>
    <w:rsid w:val="00595DCA"/>
    <w:rsid w:val="0059729E"/>
    <w:rsid w:val="0059779B"/>
    <w:rsid w:val="005A209A"/>
    <w:rsid w:val="005A662D"/>
    <w:rsid w:val="005B1409"/>
    <w:rsid w:val="005B35D7"/>
    <w:rsid w:val="005B392A"/>
    <w:rsid w:val="005B3AA3"/>
    <w:rsid w:val="005B5465"/>
    <w:rsid w:val="005B6058"/>
    <w:rsid w:val="005B6F83"/>
    <w:rsid w:val="005C0AE6"/>
    <w:rsid w:val="005C74FB"/>
    <w:rsid w:val="005D1602"/>
    <w:rsid w:val="005E076B"/>
    <w:rsid w:val="005E385F"/>
    <w:rsid w:val="005E5B81"/>
    <w:rsid w:val="005F2550"/>
    <w:rsid w:val="005F2CB1"/>
    <w:rsid w:val="005F3025"/>
    <w:rsid w:val="005F618C"/>
    <w:rsid w:val="005F70BD"/>
    <w:rsid w:val="005F746C"/>
    <w:rsid w:val="0060283C"/>
    <w:rsid w:val="00604F14"/>
    <w:rsid w:val="00611B83"/>
    <w:rsid w:val="00613257"/>
    <w:rsid w:val="00616AD6"/>
    <w:rsid w:val="00620A71"/>
    <w:rsid w:val="00620D80"/>
    <w:rsid w:val="006234A6"/>
    <w:rsid w:val="00630001"/>
    <w:rsid w:val="006311B3"/>
    <w:rsid w:val="0063244A"/>
    <w:rsid w:val="0063284C"/>
    <w:rsid w:val="00635DF2"/>
    <w:rsid w:val="00636398"/>
    <w:rsid w:val="006368D3"/>
    <w:rsid w:val="006377EC"/>
    <w:rsid w:val="0064151F"/>
    <w:rsid w:val="00641533"/>
    <w:rsid w:val="006416FE"/>
    <w:rsid w:val="0064208D"/>
    <w:rsid w:val="00643475"/>
    <w:rsid w:val="0064396A"/>
    <w:rsid w:val="0064624E"/>
    <w:rsid w:val="00650AB9"/>
    <w:rsid w:val="00655733"/>
    <w:rsid w:val="00655ACD"/>
    <w:rsid w:val="006569D0"/>
    <w:rsid w:val="00656A92"/>
    <w:rsid w:val="00656DDE"/>
    <w:rsid w:val="0066011D"/>
    <w:rsid w:val="006607C0"/>
    <w:rsid w:val="006613A6"/>
    <w:rsid w:val="006627A2"/>
    <w:rsid w:val="006634E6"/>
    <w:rsid w:val="00664E50"/>
    <w:rsid w:val="006655EE"/>
    <w:rsid w:val="00667041"/>
    <w:rsid w:val="00667EE7"/>
    <w:rsid w:val="00670922"/>
    <w:rsid w:val="00670BE1"/>
    <w:rsid w:val="00671EDD"/>
    <w:rsid w:val="0067218F"/>
    <w:rsid w:val="006741F2"/>
    <w:rsid w:val="00674CC3"/>
    <w:rsid w:val="00675C72"/>
    <w:rsid w:val="006771F9"/>
    <w:rsid w:val="006776D7"/>
    <w:rsid w:val="00681003"/>
    <w:rsid w:val="006817C9"/>
    <w:rsid w:val="00683ECE"/>
    <w:rsid w:val="006846A7"/>
    <w:rsid w:val="00695FC2"/>
    <w:rsid w:val="00696949"/>
    <w:rsid w:val="00696EF7"/>
    <w:rsid w:val="00697052"/>
    <w:rsid w:val="006A18CE"/>
    <w:rsid w:val="006A203B"/>
    <w:rsid w:val="006A46FB"/>
    <w:rsid w:val="006A5E28"/>
    <w:rsid w:val="006A697B"/>
    <w:rsid w:val="006A6D00"/>
    <w:rsid w:val="006A7AFF"/>
    <w:rsid w:val="006B1816"/>
    <w:rsid w:val="006B2099"/>
    <w:rsid w:val="006B5002"/>
    <w:rsid w:val="006B50CF"/>
    <w:rsid w:val="006B5901"/>
    <w:rsid w:val="006C03B8"/>
    <w:rsid w:val="006C1DE4"/>
    <w:rsid w:val="006C4F1B"/>
    <w:rsid w:val="006C5EC9"/>
    <w:rsid w:val="006C6059"/>
    <w:rsid w:val="006C7522"/>
    <w:rsid w:val="006D647D"/>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2F5"/>
    <w:rsid w:val="007148D3"/>
    <w:rsid w:val="00715B9A"/>
    <w:rsid w:val="00716800"/>
    <w:rsid w:val="007216AE"/>
    <w:rsid w:val="007257D0"/>
    <w:rsid w:val="00726EA6"/>
    <w:rsid w:val="00727208"/>
    <w:rsid w:val="00727680"/>
    <w:rsid w:val="007348B1"/>
    <w:rsid w:val="007362A6"/>
    <w:rsid w:val="00736D7D"/>
    <w:rsid w:val="00740E58"/>
    <w:rsid w:val="007445A0"/>
    <w:rsid w:val="0074524B"/>
    <w:rsid w:val="00747D8B"/>
    <w:rsid w:val="00751228"/>
    <w:rsid w:val="007571E1"/>
    <w:rsid w:val="007576E0"/>
    <w:rsid w:val="007604B2"/>
    <w:rsid w:val="00765281"/>
    <w:rsid w:val="00766BAD"/>
    <w:rsid w:val="007729A2"/>
    <w:rsid w:val="007755F2"/>
    <w:rsid w:val="00776971"/>
    <w:rsid w:val="00780A80"/>
    <w:rsid w:val="0078177E"/>
    <w:rsid w:val="0078304C"/>
    <w:rsid w:val="00783673"/>
    <w:rsid w:val="00784F07"/>
    <w:rsid w:val="00785490"/>
    <w:rsid w:val="007925EA"/>
    <w:rsid w:val="00793CD8"/>
    <w:rsid w:val="00795C92"/>
    <w:rsid w:val="00796231"/>
    <w:rsid w:val="007A1CB3"/>
    <w:rsid w:val="007A306F"/>
    <w:rsid w:val="007A43A6"/>
    <w:rsid w:val="007A483A"/>
    <w:rsid w:val="007A58A6"/>
    <w:rsid w:val="007B3D2D"/>
    <w:rsid w:val="007B50AE"/>
    <w:rsid w:val="007B51DF"/>
    <w:rsid w:val="007C05DD"/>
    <w:rsid w:val="007C37C1"/>
    <w:rsid w:val="007C3D18"/>
    <w:rsid w:val="007C60BF"/>
    <w:rsid w:val="007C6A07"/>
    <w:rsid w:val="007C75A1"/>
    <w:rsid w:val="007C77A5"/>
    <w:rsid w:val="007D04E5"/>
    <w:rsid w:val="007D5901"/>
    <w:rsid w:val="007D7526"/>
    <w:rsid w:val="007E4610"/>
    <w:rsid w:val="007E4715"/>
    <w:rsid w:val="007E505B"/>
    <w:rsid w:val="007E7091"/>
    <w:rsid w:val="007E73E6"/>
    <w:rsid w:val="007F0CD7"/>
    <w:rsid w:val="007F6FFA"/>
    <w:rsid w:val="007F7AD6"/>
    <w:rsid w:val="0080323E"/>
    <w:rsid w:val="00803FAE"/>
    <w:rsid w:val="0080605F"/>
    <w:rsid w:val="00807786"/>
    <w:rsid w:val="00811FCB"/>
    <w:rsid w:val="008158D6"/>
    <w:rsid w:val="00815A9D"/>
    <w:rsid w:val="00817041"/>
    <w:rsid w:val="00817196"/>
    <w:rsid w:val="008235DB"/>
    <w:rsid w:val="00824AB4"/>
    <w:rsid w:val="00825C42"/>
    <w:rsid w:val="00825D25"/>
    <w:rsid w:val="00827D6F"/>
    <w:rsid w:val="008376AC"/>
    <w:rsid w:val="008444E8"/>
    <w:rsid w:val="00844E80"/>
    <w:rsid w:val="00846FE7"/>
    <w:rsid w:val="00856911"/>
    <w:rsid w:val="00862290"/>
    <w:rsid w:val="008677FD"/>
    <w:rsid w:val="008706D4"/>
    <w:rsid w:val="00870F8A"/>
    <w:rsid w:val="008719A4"/>
    <w:rsid w:val="00871D23"/>
    <w:rsid w:val="008738A4"/>
    <w:rsid w:val="00874312"/>
    <w:rsid w:val="0087437C"/>
    <w:rsid w:val="00875CD7"/>
    <w:rsid w:val="00876B4D"/>
    <w:rsid w:val="00877F18"/>
    <w:rsid w:val="00887EDE"/>
    <w:rsid w:val="008941E3"/>
    <w:rsid w:val="00894A88"/>
    <w:rsid w:val="00895386"/>
    <w:rsid w:val="008A1DAD"/>
    <w:rsid w:val="008A21FF"/>
    <w:rsid w:val="008A2CE2"/>
    <w:rsid w:val="008A30AC"/>
    <w:rsid w:val="008A44B8"/>
    <w:rsid w:val="008A51A8"/>
    <w:rsid w:val="008A54C7"/>
    <w:rsid w:val="008A77D8"/>
    <w:rsid w:val="008B0483"/>
    <w:rsid w:val="008B120C"/>
    <w:rsid w:val="008B51A0"/>
    <w:rsid w:val="008B592A"/>
    <w:rsid w:val="008B7B5C"/>
    <w:rsid w:val="008C000F"/>
    <w:rsid w:val="008C0C99"/>
    <w:rsid w:val="008C1800"/>
    <w:rsid w:val="008C2017"/>
    <w:rsid w:val="008C4958"/>
    <w:rsid w:val="008C4BAA"/>
    <w:rsid w:val="008C6AE8"/>
    <w:rsid w:val="008C7573"/>
    <w:rsid w:val="008D00A5"/>
    <w:rsid w:val="008D34F1"/>
    <w:rsid w:val="008D39D8"/>
    <w:rsid w:val="008D6D1A"/>
    <w:rsid w:val="008E065E"/>
    <w:rsid w:val="008E0927"/>
    <w:rsid w:val="008E1909"/>
    <w:rsid w:val="008E28FA"/>
    <w:rsid w:val="008E7BA1"/>
    <w:rsid w:val="008F1C4E"/>
    <w:rsid w:val="008F1EAB"/>
    <w:rsid w:val="008F2233"/>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088"/>
    <w:rsid w:val="009317FA"/>
    <w:rsid w:val="00931BD9"/>
    <w:rsid w:val="009341DA"/>
    <w:rsid w:val="009368F3"/>
    <w:rsid w:val="00941636"/>
    <w:rsid w:val="00943742"/>
    <w:rsid w:val="00944B32"/>
    <w:rsid w:val="00945C05"/>
    <w:rsid w:val="00946945"/>
    <w:rsid w:val="00947713"/>
    <w:rsid w:val="00950C88"/>
    <w:rsid w:val="00950DE7"/>
    <w:rsid w:val="00953920"/>
    <w:rsid w:val="00953D47"/>
    <w:rsid w:val="0095681E"/>
    <w:rsid w:val="009572D4"/>
    <w:rsid w:val="00961921"/>
    <w:rsid w:val="0096430A"/>
    <w:rsid w:val="0096554B"/>
    <w:rsid w:val="0096584A"/>
    <w:rsid w:val="00970CD7"/>
    <w:rsid w:val="00971F08"/>
    <w:rsid w:val="0097603D"/>
    <w:rsid w:val="00976949"/>
    <w:rsid w:val="00980477"/>
    <w:rsid w:val="00980504"/>
    <w:rsid w:val="00985253"/>
    <w:rsid w:val="009853B3"/>
    <w:rsid w:val="00990630"/>
    <w:rsid w:val="00991761"/>
    <w:rsid w:val="009918D4"/>
    <w:rsid w:val="00994DCA"/>
    <w:rsid w:val="009960EC"/>
    <w:rsid w:val="009970DD"/>
    <w:rsid w:val="009A0FBA"/>
    <w:rsid w:val="009A1601"/>
    <w:rsid w:val="009A3BB6"/>
    <w:rsid w:val="009A462D"/>
    <w:rsid w:val="009A5CBA"/>
    <w:rsid w:val="009B0D0E"/>
    <w:rsid w:val="009B1F30"/>
    <w:rsid w:val="009B3AC2"/>
    <w:rsid w:val="009B4DF4"/>
    <w:rsid w:val="009B564E"/>
    <w:rsid w:val="009B7E87"/>
    <w:rsid w:val="009C0169"/>
    <w:rsid w:val="009C403E"/>
    <w:rsid w:val="009C45FD"/>
    <w:rsid w:val="009D4FF0"/>
    <w:rsid w:val="009D6FDB"/>
    <w:rsid w:val="009D703C"/>
    <w:rsid w:val="009D718F"/>
    <w:rsid w:val="009E068F"/>
    <w:rsid w:val="009E11E1"/>
    <w:rsid w:val="009E14E0"/>
    <w:rsid w:val="009E35DB"/>
    <w:rsid w:val="009E47A3"/>
    <w:rsid w:val="009E47DF"/>
    <w:rsid w:val="009F08F3"/>
    <w:rsid w:val="009F344F"/>
    <w:rsid w:val="009F3EB0"/>
    <w:rsid w:val="00A031D8"/>
    <w:rsid w:val="00A048A8"/>
    <w:rsid w:val="00A04F49"/>
    <w:rsid w:val="00A138EC"/>
    <w:rsid w:val="00A13E54"/>
    <w:rsid w:val="00A1509C"/>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4B5A"/>
    <w:rsid w:val="00A657D7"/>
    <w:rsid w:val="00A660AC"/>
    <w:rsid w:val="00A67E6C"/>
    <w:rsid w:val="00A71B99"/>
    <w:rsid w:val="00A739D0"/>
    <w:rsid w:val="00A761D4"/>
    <w:rsid w:val="00A77EC4"/>
    <w:rsid w:val="00A92879"/>
    <w:rsid w:val="00A92B42"/>
    <w:rsid w:val="00A9442A"/>
    <w:rsid w:val="00A96DD3"/>
    <w:rsid w:val="00AA016F"/>
    <w:rsid w:val="00AA14DA"/>
    <w:rsid w:val="00AA1ED6"/>
    <w:rsid w:val="00AA51D6"/>
    <w:rsid w:val="00AB0BC8"/>
    <w:rsid w:val="00AB11CA"/>
    <w:rsid w:val="00AB14D9"/>
    <w:rsid w:val="00AB4AB8"/>
    <w:rsid w:val="00AB655E"/>
    <w:rsid w:val="00AC007F"/>
    <w:rsid w:val="00AC2ECD"/>
    <w:rsid w:val="00AC3119"/>
    <w:rsid w:val="00AC49FB"/>
    <w:rsid w:val="00AC5A10"/>
    <w:rsid w:val="00AC66F3"/>
    <w:rsid w:val="00AD001C"/>
    <w:rsid w:val="00AD0AA3"/>
    <w:rsid w:val="00AD25AF"/>
    <w:rsid w:val="00AD2ED0"/>
    <w:rsid w:val="00AD3F94"/>
    <w:rsid w:val="00AD4A5A"/>
    <w:rsid w:val="00AE27AC"/>
    <w:rsid w:val="00AE3371"/>
    <w:rsid w:val="00AE40E0"/>
    <w:rsid w:val="00AE4DBA"/>
    <w:rsid w:val="00AE4F07"/>
    <w:rsid w:val="00AF1C5D"/>
    <w:rsid w:val="00AF42D7"/>
    <w:rsid w:val="00B006FE"/>
    <w:rsid w:val="00B007CB"/>
    <w:rsid w:val="00B023A1"/>
    <w:rsid w:val="00B02AA9"/>
    <w:rsid w:val="00B02FA3"/>
    <w:rsid w:val="00B05084"/>
    <w:rsid w:val="00B157F9"/>
    <w:rsid w:val="00B20256"/>
    <w:rsid w:val="00B2071A"/>
    <w:rsid w:val="00B20D09"/>
    <w:rsid w:val="00B2763F"/>
    <w:rsid w:val="00B27AAC"/>
    <w:rsid w:val="00B30929"/>
    <w:rsid w:val="00B372AA"/>
    <w:rsid w:val="00B40445"/>
    <w:rsid w:val="00B409E0"/>
    <w:rsid w:val="00B41888"/>
    <w:rsid w:val="00B45A52"/>
    <w:rsid w:val="00B46175"/>
    <w:rsid w:val="00B46724"/>
    <w:rsid w:val="00B53F46"/>
    <w:rsid w:val="00B548B7"/>
    <w:rsid w:val="00B61870"/>
    <w:rsid w:val="00B664C7"/>
    <w:rsid w:val="00B70F4A"/>
    <w:rsid w:val="00B739F6"/>
    <w:rsid w:val="00B769D2"/>
    <w:rsid w:val="00B81A6C"/>
    <w:rsid w:val="00B83975"/>
    <w:rsid w:val="00B85DE5"/>
    <w:rsid w:val="00B90F73"/>
    <w:rsid w:val="00B93B59"/>
    <w:rsid w:val="00B9406A"/>
    <w:rsid w:val="00B94B0D"/>
    <w:rsid w:val="00BA2280"/>
    <w:rsid w:val="00BA2A08"/>
    <w:rsid w:val="00BA56D2"/>
    <w:rsid w:val="00BA69DD"/>
    <w:rsid w:val="00BA717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6BE"/>
    <w:rsid w:val="00C279B5"/>
    <w:rsid w:val="00C27C45"/>
    <w:rsid w:val="00C3719D"/>
    <w:rsid w:val="00C37CB2"/>
    <w:rsid w:val="00C45A96"/>
    <w:rsid w:val="00C470FC"/>
    <w:rsid w:val="00C473A5"/>
    <w:rsid w:val="00C54995"/>
    <w:rsid w:val="00C54D41"/>
    <w:rsid w:val="00C60783"/>
    <w:rsid w:val="00C62702"/>
    <w:rsid w:val="00C64672"/>
    <w:rsid w:val="00C66E70"/>
    <w:rsid w:val="00C70697"/>
    <w:rsid w:val="00C70EEC"/>
    <w:rsid w:val="00C72093"/>
    <w:rsid w:val="00C72EF4"/>
    <w:rsid w:val="00C744FE"/>
    <w:rsid w:val="00C75D2F"/>
    <w:rsid w:val="00C767BE"/>
    <w:rsid w:val="00C76E3C"/>
    <w:rsid w:val="00C81568"/>
    <w:rsid w:val="00C9027A"/>
    <w:rsid w:val="00C9068E"/>
    <w:rsid w:val="00C93814"/>
    <w:rsid w:val="00C93C4B"/>
    <w:rsid w:val="00C944AB"/>
    <w:rsid w:val="00C95B40"/>
    <w:rsid w:val="00CA0538"/>
    <w:rsid w:val="00CA1ED8"/>
    <w:rsid w:val="00CA4E6E"/>
    <w:rsid w:val="00CB1F63"/>
    <w:rsid w:val="00CB7170"/>
    <w:rsid w:val="00CC040E"/>
    <w:rsid w:val="00CC111F"/>
    <w:rsid w:val="00CC2011"/>
    <w:rsid w:val="00CC3EA0"/>
    <w:rsid w:val="00CC7B45"/>
    <w:rsid w:val="00CD1188"/>
    <w:rsid w:val="00CD2ED1"/>
    <w:rsid w:val="00CD337B"/>
    <w:rsid w:val="00CE0424"/>
    <w:rsid w:val="00CE1325"/>
    <w:rsid w:val="00CE7561"/>
    <w:rsid w:val="00CF1354"/>
    <w:rsid w:val="00CF1F77"/>
    <w:rsid w:val="00CF3B1F"/>
    <w:rsid w:val="00CF3BF6"/>
    <w:rsid w:val="00CF625B"/>
    <w:rsid w:val="00CF687E"/>
    <w:rsid w:val="00D02B0C"/>
    <w:rsid w:val="00D032CB"/>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47"/>
    <w:rsid w:val="00D576CA"/>
    <w:rsid w:val="00D61AF5"/>
    <w:rsid w:val="00D652B5"/>
    <w:rsid w:val="00D66155"/>
    <w:rsid w:val="00D708B0"/>
    <w:rsid w:val="00D74B19"/>
    <w:rsid w:val="00D77B1D"/>
    <w:rsid w:val="00D8021F"/>
    <w:rsid w:val="00D80383"/>
    <w:rsid w:val="00D823C6"/>
    <w:rsid w:val="00D829E9"/>
    <w:rsid w:val="00D8327F"/>
    <w:rsid w:val="00D86CA3"/>
    <w:rsid w:val="00D87044"/>
    <w:rsid w:val="00D871CE"/>
    <w:rsid w:val="00D918C4"/>
    <w:rsid w:val="00D9196D"/>
    <w:rsid w:val="00D92982"/>
    <w:rsid w:val="00DA087D"/>
    <w:rsid w:val="00DA305E"/>
    <w:rsid w:val="00DA5417"/>
    <w:rsid w:val="00DA56E8"/>
    <w:rsid w:val="00DB0A9F"/>
    <w:rsid w:val="00DB377D"/>
    <w:rsid w:val="00DB627B"/>
    <w:rsid w:val="00DB72AF"/>
    <w:rsid w:val="00DC2D36"/>
    <w:rsid w:val="00DC53EF"/>
    <w:rsid w:val="00DD3E5E"/>
    <w:rsid w:val="00DE0939"/>
    <w:rsid w:val="00DE5608"/>
    <w:rsid w:val="00DE58D0"/>
    <w:rsid w:val="00DE654F"/>
    <w:rsid w:val="00DE6CE8"/>
    <w:rsid w:val="00DF00BF"/>
    <w:rsid w:val="00DF0B6E"/>
    <w:rsid w:val="00DF15E0"/>
    <w:rsid w:val="00DF37A0"/>
    <w:rsid w:val="00E110E7"/>
    <w:rsid w:val="00E117E2"/>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965"/>
    <w:rsid w:val="00E54E3B"/>
    <w:rsid w:val="00E57565"/>
    <w:rsid w:val="00E60BDF"/>
    <w:rsid w:val="00E63838"/>
    <w:rsid w:val="00E64434"/>
    <w:rsid w:val="00E6553E"/>
    <w:rsid w:val="00E662FD"/>
    <w:rsid w:val="00E67C51"/>
    <w:rsid w:val="00E72EFC"/>
    <w:rsid w:val="00E745CA"/>
    <w:rsid w:val="00E758EC"/>
    <w:rsid w:val="00E8234C"/>
    <w:rsid w:val="00E83AA9"/>
    <w:rsid w:val="00E85928"/>
    <w:rsid w:val="00E8620E"/>
    <w:rsid w:val="00E87822"/>
    <w:rsid w:val="00E90395"/>
    <w:rsid w:val="00E90E49"/>
    <w:rsid w:val="00E917F9"/>
    <w:rsid w:val="00E9291C"/>
    <w:rsid w:val="00E93FFE"/>
    <w:rsid w:val="00E94F8A"/>
    <w:rsid w:val="00EA7A41"/>
    <w:rsid w:val="00EB077B"/>
    <w:rsid w:val="00EB4EA2"/>
    <w:rsid w:val="00EC24D5"/>
    <w:rsid w:val="00EC27C6"/>
    <w:rsid w:val="00EC3A6B"/>
    <w:rsid w:val="00EC3D8F"/>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75C6"/>
    <w:rsid w:val="00F30828"/>
    <w:rsid w:val="00F313D6"/>
    <w:rsid w:val="00F40F0C"/>
    <w:rsid w:val="00F4579A"/>
    <w:rsid w:val="00F4766C"/>
    <w:rsid w:val="00F5060E"/>
    <w:rsid w:val="00F507D1"/>
    <w:rsid w:val="00F519CE"/>
    <w:rsid w:val="00F51ADA"/>
    <w:rsid w:val="00F60203"/>
    <w:rsid w:val="00F607C5"/>
    <w:rsid w:val="00F60DEA"/>
    <w:rsid w:val="00F61332"/>
    <w:rsid w:val="00F6302A"/>
    <w:rsid w:val="00F63950"/>
    <w:rsid w:val="00F64C2B"/>
    <w:rsid w:val="00F651BE"/>
    <w:rsid w:val="00F67F53"/>
    <w:rsid w:val="00F703BE"/>
    <w:rsid w:val="00F714BE"/>
    <w:rsid w:val="00F71F69"/>
    <w:rsid w:val="00F72B72"/>
    <w:rsid w:val="00F74BB9"/>
    <w:rsid w:val="00F75582"/>
    <w:rsid w:val="00F7689C"/>
    <w:rsid w:val="00F76EFA"/>
    <w:rsid w:val="00F804BE"/>
    <w:rsid w:val="00F817CE"/>
    <w:rsid w:val="00F8456C"/>
    <w:rsid w:val="00F859D8"/>
    <w:rsid w:val="00F868F5"/>
    <w:rsid w:val="00F9056A"/>
    <w:rsid w:val="00F90F8D"/>
    <w:rsid w:val="00F92782"/>
    <w:rsid w:val="00F93AA9"/>
    <w:rsid w:val="00F96985"/>
    <w:rsid w:val="00F97838"/>
    <w:rsid w:val="00F97B8A"/>
    <w:rsid w:val="00FA0ED6"/>
    <w:rsid w:val="00FA2BB3"/>
    <w:rsid w:val="00FA64E3"/>
    <w:rsid w:val="00FB4C80"/>
    <w:rsid w:val="00FB6A6A"/>
    <w:rsid w:val="00FC7429"/>
    <w:rsid w:val="00FD07F6"/>
    <w:rsid w:val="00FD1EC8"/>
    <w:rsid w:val="00FD47ED"/>
    <w:rsid w:val="00FD7253"/>
    <w:rsid w:val="00FD74DB"/>
    <w:rsid w:val="00FD7660"/>
    <w:rsid w:val="00FE0655"/>
    <w:rsid w:val="00FE06E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0E063"/>
  <w15:chartTrackingRefBased/>
  <w15:docId w15:val="{49034B75-8614-49DC-8D30-6460F64D0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basedOn w:val="Normal"/>
    <w:next w:val="Normal"/>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22"/>
      </w:numPr>
    </w:pPr>
  </w:style>
  <w:style w:type="paragraph" w:styleId="ListNumber">
    <w:name w:val="List Number"/>
    <w:basedOn w:val="List"/>
    <w:rsid w:val="00BA7172"/>
    <w:pPr>
      <w:numPr>
        <w:numId w:val="2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17"/>
      </w:numPr>
    </w:pPr>
  </w:style>
  <w:style w:type="paragraph" w:styleId="ListBullet">
    <w:name w:val="List Bullet"/>
    <w:basedOn w:val="List"/>
    <w:rsid w:val="00BA7172"/>
    <w:pPr>
      <w:numPr>
        <w:numId w:val="16"/>
      </w:numPr>
    </w:pPr>
    <w:rPr>
      <w:lang w:eastAsia="ja-JP"/>
    </w:rPr>
  </w:style>
  <w:style w:type="paragraph" w:styleId="ListBullet3">
    <w:name w:val="List Bullet 3"/>
    <w:basedOn w:val="ListBullet2"/>
    <w:rsid w:val="00BA7172"/>
    <w:pPr>
      <w:numPr>
        <w:numId w:val="1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19"/>
      </w:numPr>
    </w:pPr>
  </w:style>
  <w:style w:type="paragraph" w:styleId="ListBullet5">
    <w:name w:val="List Bullet 5"/>
    <w:basedOn w:val="ListBullet4"/>
    <w:rsid w:val="00BA7172"/>
    <w:pPr>
      <w:numPr>
        <w:numId w:val="2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rsid w:val="00BA7172"/>
    <w:pPr>
      <w:numPr>
        <w:numId w:val="2"/>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3"/>
      </w:numPr>
      <w:tabs>
        <w:tab w:val="clear" w:pos="1304"/>
        <w:tab w:val="left" w:pos="1701"/>
      </w:tabs>
      <w:ind w:left="1701" w:hanging="1701"/>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13"/>
      </w:numPr>
      <w:ind w:left="1701" w:hanging="1701"/>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14"/>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10"/>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 w:type="paragraph" w:styleId="Revision">
    <w:name w:val="Revision"/>
    <w:hidden/>
    <w:uiPriority w:val="99"/>
    <w:semiHidden/>
    <w:rsid w:val="00E60BDF"/>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7E061-8D0B-4930-A14B-3BB041CD7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Template>
  <TotalTime>0</TotalTime>
  <Pages>4</Pages>
  <Words>1801</Words>
  <Characters>10266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12043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Reem Karaki</cp:lastModifiedBy>
  <cp:revision>106</cp:revision>
  <cp:lastPrinted>2008-01-31T07:09:00Z</cp:lastPrinted>
  <dcterms:created xsi:type="dcterms:W3CDTF">2018-05-03T07:54:00Z</dcterms:created>
  <dcterms:modified xsi:type="dcterms:W3CDTF">2018-05-10T05:21:00Z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